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D4198B" w14:textId="62506A8C" w:rsidR="000C37F2" w:rsidRPr="00585921" w:rsidRDefault="000C37F2" w:rsidP="000C37F2">
      <w:pPr>
        <w:pBdr>
          <w:bottom w:val="single" w:sz="4" w:space="1" w:color="auto"/>
        </w:pBdr>
        <w:tabs>
          <w:tab w:val="left" w:pos="426"/>
        </w:tabs>
        <w:overflowPunct w:val="0"/>
        <w:autoSpaceDE w:val="0"/>
        <w:autoSpaceDN w:val="0"/>
        <w:adjustRightInd w:val="0"/>
        <w:spacing w:after="0"/>
        <w:ind w:left="709" w:hanging="709"/>
        <w:jc w:val="left"/>
        <w:textAlignment w:val="baseline"/>
        <w:outlineLvl w:val="2"/>
        <w:rPr>
          <w:rFonts w:ascii="Trebuchet MS" w:eastAsia="Times New Roman" w:hAnsi="Trebuchet MS" w:cs="Tahoma"/>
          <w:i/>
          <w:sz w:val="20"/>
          <w:szCs w:val="20"/>
          <w:lang w:eastAsia="pl-PL"/>
        </w:rPr>
      </w:pPr>
      <w:r w:rsidRPr="00585921">
        <w:rPr>
          <w:rFonts w:ascii="Trebuchet MS" w:eastAsia="Times New Roman" w:hAnsi="Trebuchet MS" w:cs="Tahoma"/>
          <w:sz w:val="20"/>
          <w:szCs w:val="20"/>
          <w:lang w:eastAsia="pl-PL"/>
        </w:rPr>
        <w:t>Załącznik nr 1</w:t>
      </w:r>
      <w:r w:rsidRPr="00585921">
        <w:rPr>
          <w:rFonts w:ascii="Trebuchet MS" w:eastAsia="Times New Roman" w:hAnsi="Trebuchet MS" w:cs="Tahoma"/>
          <w:i/>
          <w:sz w:val="20"/>
          <w:szCs w:val="20"/>
          <w:lang w:eastAsia="pl-PL"/>
        </w:rPr>
        <w:t xml:space="preserve"> </w:t>
      </w:r>
      <w:r w:rsidR="00585921">
        <w:rPr>
          <w:rFonts w:ascii="Trebuchet MS" w:eastAsia="Times New Roman" w:hAnsi="Trebuchet MS" w:cs="Tahoma"/>
          <w:i/>
          <w:sz w:val="20"/>
          <w:szCs w:val="20"/>
          <w:lang w:eastAsia="pl-PL"/>
        </w:rPr>
        <w:t>„</w:t>
      </w:r>
      <w:r w:rsidRPr="00585921">
        <w:rPr>
          <w:rFonts w:ascii="Trebuchet MS" w:eastAsia="Times New Roman" w:hAnsi="Trebuchet MS" w:cs="Tahoma"/>
          <w:i/>
          <w:sz w:val="20"/>
          <w:szCs w:val="20"/>
          <w:lang w:eastAsia="pl-PL"/>
        </w:rPr>
        <w:t>Szczegółowy opis przedmiotu zamówienia</w:t>
      </w:r>
      <w:r w:rsidR="00585921">
        <w:rPr>
          <w:rFonts w:ascii="Trebuchet MS" w:eastAsia="Times New Roman" w:hAnsi="Trebuchet MS" w:cs="Tahoma"/>
          <w:i/>
          <w:sz w:val="20"/>
          <w:szCs w:val="20"/>
          <w:lang w:eastAsia="pl-PL"/>
        </w:rPr>
        <w:t>”</w:t>
      </w:r>
    </w:p>
    <w:p w14:paraId="4CE4D3E5" w14:textId="77777777" w:rsidR="000C37F2" w:rsidRPr="00585921" w:rsidRDefault="000C37F2" w:rsidP="000C37F2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rebuchet MS" w:eastAsia="Times New Roman" w:hAnsi="Trebuchet MS" w:cs="Tahoma"/>
          <w:i/>
          <w:sz w:val="20"/>
          <w:szCs w:val="20"/>
          <w:lang w:eastAsia="pl-PL"/>
        </w:rPr>
      </w:pPr>
    </w:p>
    <w:p w14:paraId="01A1CF56" w14:textId="77777777" w:rsidR="000C37F2" w:rsidRPr="00585921" w:rsidRDefault="000C37F2" w:rsidP="000C37F2">
      <w:pPr>
        <w:pStyle w:val="Akapitzlist"/>
        <w:numPr>
          <w:ilvl w:val="2"/>
          <w:numId w:val="2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  <w:r w:rsidRPr="00585921">
        <w:rPr>
          <w:rFonts w:ascii="Trebuchet MS" w:eastAsia="Times New Roman" w:hAnsi="Trebuchet MS" w:cs="Tahoma"/>
          <w:b/>
          <w:sz w:val="20"/>
          <w:szCs w:val="20"/>
          <w:lang w:eastAsia="pl-PL"/>
        </w:rPr>
        <w:t>Przedmiot i suma ubezpieczenia</w:t>
      </w:r>
    </w:p>
    <w:p w14:paraId="379BD33C" w14:textId="77777777" w:rsidR="000C37F2" w:rsidRPr="00585921" w:rsidRDefault="000C37F2" w:rsidP="000C37F2">
      <w:pPr>
        <w:pStyle w:val="Akapitzlist"/>
        <w:overflowPunct w:val="0"/>
        <w:autoSpaceDE w:val="0"/>
        <w:autoSpaceDN w:val="0"/>
        <w:adjustRightInd w:val="0"/>
        <w:spacing w:after="0"/>
        <w:ind w:left="709"/>
        <w:textAlignment w:val="baseline"/>
        <w:rPr>
          <w:rFonts w:ascii="Trebuchet MS" w:hAnsi="Trebuchet MS" w:cs="Tahoma"/>
          <w:snapToGrid w:val="0"/>
          <w:sz w:val="20"/>
          <w:szCs w:val="20"/>
        </w:rPr>
      </w:pPr>
    </w:p>
    <w:p w14:paraId="70037917" w14:textId="77777777" w:rsidR="000C37F2" w:rsidRPr="00585921" w:rsidRDefault="000C37F2" w:rsidP="000C37F2">
      <w:pPr>
        <w:pStyle w:val="Akapitzlist"/>
        <w:numPr>
          <w:ilvl w:val="3"/>
          <w:numId w:val="3"/>
        </w:numPr>
        <w:suppressAutoHyphens/>
        <w:overflowPunct w:val="0"/>
        <w:autoSpaceDE w:val="0"/>
        <w:spacing w:after="0"/>
        <w:ind w:left="567" w:hanging="567"/>
        <w:textAlignment w:val="baseline"/>
        <w:rPr>
          <w:rFonts w:ascii="Trebuchet MS" w:hAnsi="Trebuchet MS" w:cs="Tahoma"/>
          <w:snapToGrid w:val="0"/>
          <w:sz w:val="20"/>
          <w:szCs w:val="20"/>
        </w:rPr>
      </w:pPr>
      <w:r w:rsidRPr="00585921">
        <w:rPr>
          <w:rFonts w:ascii="Trebuchet MS" w:hAnsi="Trebuchet MS" w:cs="Tahoma"/>
          <w:snapToGrid w:val="0"/>
          <w:sz w:val="20"/>
          <w:szCs w:val="20"/>
        </w:rPr>
        <w:t xml:space="preserve">Przedmiotem ubezpieczenia jest mienie przyjęte na podstawie umów użyczenia na okoliczność wystawy „Perspektywa wieku dojrzewania”. Informacje podstawowe w temacie przedmiotu ubezpieczenia znajdują się w załączniku 8, z zastrzeżeniem, że wykaz dzieł może ulec zmianie. </w:t>
      </w:r>
    </w:p>
    <w:p w14:paraId="504959EC" w14:textId="0F929FE5" w:rsidR="000C37F2" w:rsidRPr="00585921" w:rsidRDefault="000C37F2" w:rsidP="000C37F2">
      <w:pPr>
        <w:pStyle w:val="Akapitzlist"/>
        <w:numPr>
          <w:ilvl w:val="3"/>
          <w:numId w:val="3"/>
        </w:numPr>
        <w:suppressAutoHyphens/>
        <w:overflowPunct w:val="0"/>
        <w:autoSpaceDE w:val="0"/>
        <w:spacing w:after="0"/>
        <w:ind w:left="567" w:hanging="567"/>
        <w:textAlignment w:val="baseline"/>
        <w:rPr>
          <w:rFonts w:ascii="Trebuchet MS" w:hAnsi="Trebuchet MS" w:cs="Tahoma"/>
          <w:snapToGrid w:val="0"/>
          <w:sz w:val="20"/>
          <w:szCs w:val="20"/>
        </w:rPr>
      </w:pPr>
      <w:r w:rsidRPr="00585921">
        <w:rPr>
          <w:rFonts w:ascii="Trebuchet MS" w:hAnsi="Trebuchet MS" w:cs="Tahoma"/>
          <w:snapToGrid w:val="0"/>
          <w:sz w:val="20"/>
          <w:szCs w:val="20"/>
        </w:rPr>
        <w:t>Sumy ubezpieczenia obiektów na dzień ogłoszenia zamówienia</w:t>
      </w:r>
      <w:r w:rsidR="00EB4A8C">
        <w:rPr>
          <w:rFonts w:ascii="Trebuchet MS" w:hAnsi="Trebuchet MS" w:cs="Tahoma"/>
          <w:snapToGrid w:val="0"/>
          <w:sz w:val="20"/>
          <w:szCs w:val="20"/>
        </w:rPr>
        <w:t>, podane wg wartości zadeklarowanej przez użyczających</w:t>
      </w:r>
      <w:r w:rsidRPr="00585921">
        <w:rPr>
          <w:rFonts w:ascii="Trebuchet MS" w:hAnsi="Trebuchet MS" w:cs="Tahoma"/>
          <w:snapToGrid w:val="0"/>
          <w:sz w:val="20"/>
          <w:szCs w:val="20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345"/>
        <w:gridCol w:w="2037"/>
      </w:tblGrid>
      <w:tr w:rsidR="00585921" w:rsidRPr="00585921" w14:paraId="65665E61" w14:textId="77777777" w:rsidTr="00A81ADE">
        <w:trPr>
          <w:jc w:val="center"/>
        </w:trPr>
        <w:tc>
          <w:tcPr>
            <w:tcW w:w="3345" w:type="dxa"/>
          </w:tcPr>
          <w:p w14:paraId="290B823C" w14:textId="77777777" w:rsidR="000C37F2" w:rsidRPr="00585921" w:rsidRDefault="000C37F2" w:rsidP="00A81ADE">
            <w:pPr>
              <w:pStyle w:val="Akapitzlist"/>
              <w:suppressAutoHyphens/>
              <w:overflowPunct w:val="0"/>
              <w:autoSpaceDE w:val="0"/>
              <w:spacing w:after="0"/>
              <w:ind w:left="0"/>
              <w:jc w:val="center"/>
              <w:textAlignment w:val="baseline"/>
              <w:rPr>
                <w:rFonts w:ascii="Trebuchet MS" w:hAnsi="Trebuchet MS" w:cs="Tahoma"/>
                <w:b/>
                <w:snapToGrid w:val="0"/>
                <w:sz w:val="20"/>
                <w:szCs w:val="20"/>
              </w:rPr>
            </w:pPr>
            <w:r w:rsidRPr="00585921">
              <w:rPr>
                <w:rFonts w:ascii="Trebuchet MS" w:hAnsi="Trebuchet MS" w:cs="Tahoma"/>
                <w:b/>
                <w:snapToGrid w:val="0"/>
                <w:sz w:val="20"/>
                <w:szCs w:val="20"/>
              </w:rPr>
              <w:t>Suma ubezpieczenia (</w:t>
            </w:r>
            <w:proofErr w:type="spellStart"/>
            <w:r w:rsidRPr="00585921">
              <w:rPr>
                <w:rFonts w:ascii="Trebuchet MS" w:hAnsi="Trebuchet MS" w:cs="Tahoma"/>
                <w:b/>
                <w:snapToGrid w:val="0"/>
                <w:sz w:val="20"/>
                <w:szCs w:val="20"/>
              </w:rPr>
              <w:t>su</w:t>
            </w:r>
            <w:proofErr w:type="spellEnd"/>
            <w:r w:rsidRPr="00585921">
              <w:rPr>
                <w:rFonts w:ascii="Trebuchet MS" w:hAnsi="Trebuchet MS" w:cs="Tahoma"/>
                <w:b/>
                <w:snapToGrid w:val="0"/>
                <w:sz w:val="20"/>
                <w:szCs w:val="20"/>
              </w:rPr>
              <w:t>)</w:t>
            </w:r>
          </w:p>
        </w:tc>
        <w:tc>
          <w:tcPr>
            <w:tcW w:w="2037" w:type="dxa"/>
          </w:tcPr>
          <w:p w14:paraId="399006EC" w14:textId="77777777" w:rsidR="000C37F2" w:rsidRPr="00585921" w:rsidRDefault="000C37F2" w:rsidP="00A81ADE">
            <w:pPr>
              <w:pStyle w:val="Akapitzlist"/>
              <w:suppressAutoHyphens/>
              <w:overflowPunct w:val="0"/>
              <w:autoSpaceDE w:val="0"/>
              <w:spacing w:after="0"/>
              <w:ind w:left="0"/>
              <w:jc w:val="center"/>
              <w:textAlignment w:val="baseline"/>
              <w:rPr>
                <w:rFonts w:ascii="Trebuchet MS" w:hAnsi="Trebuchet MS" w:cs="Tahoma"/>
                <w:b/>
                <w:snapToGrid w:val="0"/>
                <w:sz w:val="20"/>
                <w:szCs w:val="20"/>
              </w:rPr>
            </w:pPr>
            <w:r w:rsidRPr="00585921">
              <w:rPr>
                <w:rFonts w:ascii="Trebuchet MS" w:hAnsi="Trebuchet MS" w:cs="Tahoma"/>
                <w:b/>
                <w:snapToGrid w:val="0"/>
                <w:sz w:val="20"/>
                <w:szCs w:val="20"/>
              </w:rPr>
              <w:t xml:space="preserve">Waluta </w:t>
            </w:r>
            <w:proofErr w:type="spellStart"/>
            <w:r w:rsidRPr="00585921">
              <w:rPr>
                <w:rFonts w:ascii="Trebuchet MS" w:hAnsi="Trebuchet MS" w:cs="Tahoma"/>
                <w:b/>
                <w:snapToGrid w:val="0"/>
                <w:sz w:val="20"/>
                <w:szCs w:val="20"/>
              </w:rPr>
              <w:t>su</w:t>
            </w:r>
            <w:proofErr w:type="spellEnd"/>
          </w:p>
        </w:tc>
      </w:tr>
      <w:tr w:rsidR="00585921" w:rsidRPr="00585921" w14:paraId="3012FC02" w14:textId="77777777" w:rsidTr="00A81ADE">
        <w:trPr>
          <w:jc w:val="center"/>
        </w:trPr>
        <w:tc>
          <w:tcPr>
            <w:tcW w:w="3345" w:type="dxa"/>
          </w:tcPr>
          <w:p w14:paraId="233F967E" w14:textId="77777777" w:rsidR="000C37F2" w:rsidRPr="00585921" w:rsidRDefault="000C37F2" w:rsidP="00A81ADE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585921">
              <w:rPr>
                <w:rFonts w:ascii="Trebuchet MS" w:hAnsi="Trebuchet MS"/>
                <w:sz w:val="20"/>
                <w:szCs w:val="20"/>
              </w:rPr>
              <w:t>85 837 150,00</w:t>
            </w:r>
          </w:p>
        </w:tc>
        <w:tc>
          <w:tcPr>
            <w:tcW w:w="2037" w:type="dxa"/>
          </w:tcPr>
          <w:p w14:paraId="597D1EC9" w14:textId="77777777" w:rsidR="000C37F2" w:rsidRPr="00585921" w:rsidRDefault="000C37F2" w:rsidP="00A81ADE">
            <w:pPr>
              <w:spacing w:after="0" w:line="240" w:lineRule="auto"/>
              <w:jc w:val="center"/>
              <w:rPr>
                <w:rFonts w:ascii="Trebuchet MS" w:hAnsi="Trebuchet MS" w:cs="Tahoma"/>
                <w:snapToGrid w:val="0"/>
                <w:sz w:val="20"/>
                <w:szCs w:val="20"/>
              </w:rPr>
            </w:pPr>
            <w:r w:rsidRPr="00585921">
              <w:rPr>
                <w:rFonts w:ascii="Trebuchet MS" w:hAnsi="Trebuchet MS" w:cs="Tahoma"/>
                <w:snapToGrid w:val="0"/>
                <w:sz w:val="20"/>
                <w:szCs w:val="20"/>
              </w:rPr>
              <w:t>PLN</w:t>
            </w:r>
          </w:p>
        </w:tc>
      </w:tr>
      <w:tr w:rsidR="00585921" w:rsidRPr="00585921" w14:paraId="06F154C7" w14:textId="77777777" w:rsidTr="00A81ADE">
        <w:trPr>
          <w:jc w:val="center"/>
        </w:trPr>
        <w:tc>
          <w:tcPr>
            <w:tcW w:w="3345" w:type="dxa"/>
          </w:tcPr>
          <w:p w14:paraId="635A9D49" w14:textId="77777777" w:rsidR="000C37F2" w:rsidRPr="00585921" w:rsidRDefault="000C37F2" w:rsidP="00A81ADE">
            <w:pPr>
              <w:spacing w:after="0" w:line="240" w:lineRule="auto"/>
              <w:jc w:val="center"/>
              <w:rPr>
                <w:rFonts w:ascii="Trebuchet MS" w:hAnsi="Trebuchet MS" w:cs="Tahoma"/>
                <w:snapToGrid w:val="0"/>
                <w:sz w:val="20"/>
                <w:szCs w:val="20"/>
              </w:rPr>
            </w:pPr>
            <w:r w:rsidRPr="00585921">
              <w:rPr>
                <w:rFonts w:ascii="Trebuchet MS" w:hAnsi="Trebuchet MS" w:cs="Tahoma"/>
                <w:snapToGrid w:val="0"/>
                <w:sz w:val="20"/>
                <w:szCs w:val="20"/>
              </w:rPr>
              <w:t>8 460 000,00</w:t>
            </w:r>
          </w:p>
        </w:tc>
        <w:tc>
          <w:tcPr>
            <w:tcW w:w="2037" w:type="dxa"/>
          </w:tcPr>
          <w:p w14:paraId="2650DB14" w14:textId="77777777" w:rsidR="000C37F2" w:rsidRPr="00585921" w:rsidRDefault="000C37F2" w:rsidP="00A81ADE">
            <w:pPr>
              <w:spacing w:after="0" w:line="240" w:lineRule="auto"/>
              <w:jc w:val="center"/>
              <w:rPr>
                <w:rFonts w:ascii="Trebuchet MS" w:hAnsi="Trebuchet MS" w:cs="Tahoma"/>
                <w:snapToGrid w:val="0"/>
                <w:sz w:val="20"/>
                <w:szCs w:val="20"/>
              </w:rPr>
            </w:pPr>
            <w:r w:rsidRPr="00585921">
              <w:rPr>
                <w:rFonts w:ascii="Trebuchet MS" w:hAnsi="Trebuchet MS" w:cs="Tahoma"/>
                <w:snapToGrid w:val="0"/>
                <w:sz w:val="20"/>
                <w:szCs w:val="20"/>
              </w:rPr>
              <w:t>EUR</w:t>
            </w:r>
          </w:p>
        </w:tc>
      </w:tr>
    </w:tbl>
    <w:p w14:paraId="734E06D8" w14:textId="77777777" w:rsidR="000C37F2" w:rsidRPr="00585921" w:rsidRDefault="000C37F2" w:rsidP="000C37F2">
      <w:pPr>
        <w:pStyle w:val="Akapitzlist"/>
        <w:numPr>
          <w:ilvl w:val="3"/>
          <w:numId w:val="3"/>
        </w:numPr>
        <w:suppressAutoHyphens/>
        <w:overflowPunct w:val="0"/>
        <w:autoSpaceDE w:val="0"/>
        <w:spacing w:after="0"/>
        <w:ind w:left="567" w:hanging="567"/>
        <w:textAlignment w:val="baseline"/>
        <w:rPr>
          <w:rFonts w:ascii="Trebuchet MS" w:hAnsi="Trebuchet MS" w:cs="Tahoma"/>
          <w:snapToGrid w:val="0"/>
          <w:sz w:val="20"/>
          <w:szCs w:val="20"/>
        </w:rPr>
      </w:pPr>
      <w:r w:rsidRPr="00585921">
        <w:rPr>
          <w:rFonts w:ascii="Trebuchet MS" w:hAnsi="Trebuchet MS" w:cs="Tahoma"/>
          <w:snapToGrid w:val="0"/>
          <w:sz w:val="20"/>
          <w:szCs w:val="20"/>
        </w:rPr>
        <w:t>Szczegóły w odniesieniu do przedmiotu ubezpieczenia uwzględnia załącznik 8.</w:t>
      </w:r>
    </w:p>
    <w:p w14:paraId="13698149" w14:textId="77777777" w:rsidR="000C37F2" w:rsidRPr="00585921" w:rsidRDefault="000C37F2" w:rsidP="000C37F2">
      <w:pPr>
        <w:pStyle w:val="Akapitzlist"/>
        <w:numPr>
          <w:ilvl w:val="3"/>
          <w:numId w:val="3"/>
        </w:numPr>
        <w:suppressAutoHyphens/>
        <w:overflowPunct w:val="0"/>
        <w:autoSpaceDE w:val="0"/>
        <w:spacing w:after="0"/>
        <w:ind w:left="567" w:hanging="567"/>
        <w:textAlignment w:val="baseline"/>
        <w:rPr>
          <w:rFonts w:ascii="Trebuchet MS" w:hAnsi="Trebuchet MS" w:cs="Tahoma"/>
          <w:snapToGrid w:val="0"/>
          <w:sz w:val="20"/>
          <w:szCs w:val="20"/>
        </w:rPr>
      </w:pPr>
      <w:r w:rsidRPr="00585921">
        <w:rPr>
          <w:rFonts w:ascii="Trebuchet MS" w:hAnsi="Trebuchet MS" w:cs="Tahoma"/>
          <w:snapToGrid w:val="0"/>
          <w:sz w:val="20"/>
          <w:szCs w:val="20"/>
        </w:rPr>
        <w:t>Przedmiotem ubezpieczenia są: szkice/gwasze/akwarele/monotypie, obrazy, rzeźby, formy przestrzenne, plakaty, inne.</w:t>
      </w:r>
    </w:p>
    <w:p w14:paraId="519187E3" w14:textId="17B12732" w:rsidR="000C37F2" w:rsidRPr="00585921" w:rsidRDefault="000C37F2" w:rsidP="000C37F2">
      <w:pPr>
        <w:pStyle w:val="Akapitzlist"/>
        <w:numPr>
          <w:ilvl w:val="3"/>
          <w:numId w:val="3"/>
        </w:numPr>
        <w:suppressAutoHyphens/>
        <w:overflowPunct w:val="0"/>
        <w:autoSpaceDE w:val="0"/>
        <w:spacing w:after="0"/>
        <w:ind w:left="567" w:hanging="567"/>
        <w:textAlignment w:val="baseline"/>
        <w:rPr>
          <w:rFonts w:ascii="Trebuchet MS" w:hAnsi="Trebuchet MS" w:cs="Tahoma"/>
          <w:snapToGrid w:val="0"/>
          <w:sz w:val="20"/>
          <w:szCs w:val="20"/>
        </w:rPr>
      </w:pPr>
      <w:r w:rsidRPr="00585921">
        <w:rPr>
          <w:rFonts w:ascii="Trebuchet MS" w:hAnsi="Trebuchet MS" w:cs="Tahoma"/>
          <w:snapToGrid w:val="0"/>
          <w:sz w:val="20"/>
          <w:szCs w:val="20"/>
        </w:rPr>
        <w:t>Transport zagraniczny o najwyższej wartości: do/z:</w:t>
      </w:r>
      <w:r w:rsidR="00557CFD" w:rsidRPr="00585921">
        <w:rPr>
          <w:rFonts w:ascii="Trebuchet MS" w:hAnsi="Trebuchet MS" w:cs="Tahoma"/>
          <w:snapToGrid w:val="0"/>
          <w:sz w:val="20"/>
          <w:szCs w:val="20"/>
        </w:rPr>
        <w:t xml:space="preserve"> Francji</w:t>
      </w:r>
      <w:r w:rsidRPr="00585921">
        <w:rPr>
          <w:rFonts w:ascii="Trebuchet MS" w:hAnsi="Trebuchet MS" w:cs="Tahoma"/>
          <w:snapToGrid w:val="0"/>
          <w:sz w:val="20"/>
          <w:szCs w:val="20"/>
        </w:rPr>
        <w:t>. Wartość obiektów : 7,1 mln Euro.</w:t>
      </w:r>
    </w:p>
    <w:p w14:paraId="5716FC69" w14:textId="77777777" w:rsidR="000C37F2" w:rsidRPr="00585921" w:rsidRDefault="000C37F2" w:rsidP="000C37F2">
      <w:pPr>
        <w:pStyle w:val="Akapitzlist"/>
        <w:numPr>
          <w:ilvl w:val="3"/>
          <w:numId w:val="3"/>
        </w:numPr>
        <w:suppressAutoHyphens/>
        <w:overflowPunct w:val="0"/>
        <w:autoSpaceDE w:val="0"/>
        <w:spacing w:after="0"/>
        <w:ind w:left="567" w:hanging="567"/>
        <w:textAlignment w:val="baseline"/>
        <w:rPr>
          <w:rFonts w:ascii="Trebuchet MS" w:hAnsi="Trebuchet MS" w:cs="Tahoma"/>
          <w:snapToGrid w:val="0"/>
          <w:sz w:val="20"/>
          <w:szCs w:val="20"/>
        </w:rPr>
      </w:pPr>
      <w:r w:rsidRPr="00585921">
        <w:rPr>
          <w:rFonts w:ascii="Trebuchet MS" w:hAnsi="Trebuchet MS" w:cs="Tahoma"/>
          <w:snapToGrid w:val="0"/>
          <w:sz w:val="20"/>
          <w:szCs w:val="20"/>
        </w:rPr>
        <w:t xml:space="preserve">Transport krajowy o najwyższej wartości: 39,7 mln zł. </w:t>
      </w:r>
    </w:p>
    <w:p w14:paraId="27DE2608" w14:textId="77777777" w:rsidR="000C37F2" w:rsidRPr="00585921" w:rsidRDefault="000C37F2" w:rsidP="000C37F2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</w:p>
    <w:p w14:paraId="1065CB3D" w14:textId="77777777" w:rsidR="000C37F2" w:rsidRPr="00585921" w:rsidRDefault="000C37F2" w:rsidP="000C37F2">
      <w:pPr>
        <w:pStyle w:val="Akapitzlist"/>
        <w:numPr>
          <w:ilvl w:val="2"/>
          <w:numId w:val="2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  <w:r w:rsidRPr="00585921">
        <w:rPr>
          <w:rFonts w:ascii="Trebuchet MS" w:hAnsi="Trebuchet MS" w:cs="Tahoma"/>
          <w:b/>
          <w:sz w:val="20"/>
          <w:szCs w:val="20"/>
        </w:rPr>
        <w:t>Oczekiwany zakres</w:t>
      </w:r>
      <w:r w:rsidRPr="00585921">
        <w:rPr>
          <w:rFonts w:ascii="Trebuchet MS" w:eastAsia="Times New Roman" w:hAnsi="Trebuchet MS" w:cs="Tahoma"/>
          <w:b/>
          <w:sz w:val="20"/>
          <w:szCs w:val="20"/>
          <w:lang w:eastAsia="pl-PL"/>
        </w:rPr>
        <w:t xml:space="preserve"> i okres ubezpieczenia</w:t>
      </w:r>
    </w:p>
    <w:p w14:paraId="2C329DD5" w14:textId="77777777" w:rsidR="000C37F2" w:rsidRPr="00585921" w:rsidRDefault="000C37F2" w:rsidP="000C37F2">
      <w:pPr>
        <w:pStyle w:val="Akapitzlist"/>
        <w:numPr>
          <w:ilvl w:val="0"/>
          <w:numId w:val="6"/>
        </w:numPr>
        <w:spacing w:before="23" w:after="23"/>
        <w:rPr>
          <w:rFonts w:ascii="Trebuchet MS" w:hAnsi="Trebuchet MS" w:cs="Tahoma"/>
          <w:sz w:val="20"/>
          <w:szCs w:val="20"/>
        </w:rPr>
      </w:pPr>
      <w:r w:rsidRPr="00585921">
        <w:rPr>
          <w:rFonts w:ascii="Trebuchet MS" w:hAnsi="Trebuchet MS" w:cs="Tahoma"/>
          <w:sz w:val="20"/>
          <w:szCs w:val="20"/>
        </w:rPr>
        <w:t>Okres ubezpieczenia: od 28.05.2018 do 19.10.2018r.</w:t>
      </w:r>
    </w:p>
    <w:p w14:paraId="2CDDB079" w14:textId="77777777" w:rsidR="000C37F2" w:rsidRPr="00585921" w:rsidRDefault="000C37F2" w:rsidP="000C37F2">
      <w:pPr>
        <w:pStyle w:val="Akapitzlist"/>
        <w:numPr>
          <w:ilvl w:val="0"/>
          <w:numId w:val="6"/>
        </w:numPr>
        <w:spacing w:before="23" w:after="23"/>
        <w:rPr>
          <w:rFonts w:ascii="Trebuchet MS" w:hAnsi="Trebuchet MS" w:cs="Tahoma"/>
          <w:sz w:val="20"/>
          <w:szCs w:val="20"/>
        </w:rPr>
      </w:pPr>
      <w:r w:rsidRPr="00585921">
        <w:rPr>
          <w:rFonts w:ascii="Trebuchet MS" w:hAnsi="Trebuchet MS" w:cs="Tahoma"/>
          <w:snapToGrid w:val="0"/>
          <w:sz w:val="20"/>
          <w:szCs w:val="20"/>
        </w:rPr>
        <w:t xml:space="preserve">Zakres ubezpieczenia obejmuje ochroną obiekty podczas wystawy i transportów. Zakres ubezpieczenia skonstruowany na bazie tzw. </w:t>
      </w:r>
      <w:proofErr w:type="spellStart"/>
      <w:r w:rsidRPr="00585921">
        <w:rPr>
          <w:rFonts w:ascii="Trebuchet MS" w:hAnsi="Trebuchet MS" w:cs="Tahoma"/>
          <w:snapToGrid w:val="0"/>
          <w:sz w:val="20"/>
          <w:szCs w:val="20"/>
        </w:rPr>
        <w:t>nail</w:t>
      </w:r>
      <w:proofErr w:type="spellEnd"/>
      <w:r w:rsidRPr="00585921">
        <w:rPr>
          <w:rFonts w:ascii="Trebuchet MS" w:hAnsi="Trebuchet MS" w:cs="Tahoma"/>
          <w:snapToGrid w:val="0"/>
          <w:sz w:val="20"/>
          <w:szCs w:val="20"/>
        </w:rPr>
        <w:t xml:space="preserve"> to </w:t>
      </w:r>
      <w:proofErr w:type="spellStart"/>
      <w:r w:rsidRPr="00585921">
        <w:rPr>
          <w:rFonts w:ascii="Trebuchet MS" w:hAnsi="Trebuchet MS" w:cs="Tahoma"/>
          <w:snapToGrid w:val="0"/>
          <w:sz w:val="20"/>
          <w:szCs w:val="20"/>
        </w:rPr>
        <w:t>nail</w:t>
      </w:r>
      <w:proofErr w:type="spellEnd"/>
      <w:r w:rsidRPr="00585921">
        <w:rPr>
          <w:rFonts w:ascii="Trebuchet MS" w:hAnsi="Trebuchet MS" w:cs="Tahoma"/>
          <w:snapToGrid w:val="0"/>
          <w:sz w:val="20"/>
          <w:szCs w:val="20"/>
        </w:rPr>
        <w:t>.</w:t>
      </w:r>
    </w:p>
    <w:p w14:paraId="4FC7DF5B" w14:textId="77777777" w:rsidR="000C37F2" w:rsidRPr="00585921" w:rsidRDefault="000C37F2" w:rsidP="000C37F2">
      <w:pPr>
        <w:pStyle w:val="Tekstkomentarza"/>
        <w:numPr>
          <w:ilvl w:val="0"/>
          <w:numId w:val="6"/>
        </w:numPr>
        <w:tabs>
          <w:tab w:val="left" w:pos="3472"/>
        </w:tabs>
        <w:spacing w:after="120" w:line="276" w:lineRule="auto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>Ubezpieczyciel odpowiada za szkody polegające na utracie, zniszczeniu lub uszkodzeniu ubezpieczonego mienia na skutek nagłego, niespodziewanego i niezależnego od woli Ubezpieczającego/Ubezpieczonego zdarzenia zgodnie z zakresem ubezpieczenia. Zakres ubezpieczenia  określany mianem „</w:t>
      </w:r>
      <w:proofErr w:type="spellStart"/>
      <w:r w:rsidRPr="00585921">
        <w:rPr>
          <w:rFonts w:ascii="Trebuchet MS" w:hAnsi="Trebuchet MS" w:cs="Tahoma"/>
          <w:snapToGrid w:val="0"/>
          <w:lang w:eastAsia="en-US"/>
        </w:rPr>
        <w:t>nail</w:t>
      </w:r>
      <w:proofErr w:type="spellEnd"/>
      <w:r w:rsidRPr="00585921">
        <w:rPr>
          <w:rFonts w:ascii="Trebuchet MS" w:hAnsi="Trebuchet MS" w:cs="Tahoma"/>
          <w:snapToGrid w:val="0"/>
          <w:lang w:eastAsia="en-US"/>
        </w:rPr>
        <w:t xml:space="preserve"> to </w:t>
      </w:r>
      <w:proofErr w:type="spellStart"/>
      <w:r w:rsidRPr="00585921">
        <w:rPr>
          <w:rFonts w:ascii="Trebuchet MS" w:hAnsi="Trebuchet MS" w:cs="Tahoma"/>
          <w:snapToGrid w:val="0"/>
          <w:lang w:eastAsia="en-US"/>
        </w:rPr>
        <w:t>nail</w:t>
      </w:r>
      <w:proofErr w:type="spellEnd"/>
      <w:r w:rsidRPr="00585921">
        <w:rPr>
          <w:rFonts w:ascii="Trebuchet MS" w:hAnsi="Trebuchet MS" w:cs="Tahoma"/>
          <w:snapToGrid w:val="0"/>
          <w:lang w:eastAsia="en-US"/>
        </w:rPr>
        <w:t>”,</w:t>
      </w:r>
      <w:r w:rsidRPr="00585921">
        <w:rPr>
          <w:rFonts w:ascii="Trebuchet MS" w:hAnsi="Trebuchet MS" w:cs="Tahoma"/>
          <w:snapToGrid w:val="0"/>
        </w:rPr>
        <w:t xml:space="preserve"> łącznie z ubezpieczeniem mienia w transporcie (cargo). </w:t>
      </w:r>
    </w:p>
    <w:p w14:paraId="41D09840" w14:textId="77777777" w:rsidR="000C37F2" w:rsidRPr="00585921" w:rsidRDefault="000C37F2" w:rsidP="000C37F2">
      <w:pPr>
        <w:pStyle w:val="Akapitzlist"/>
        <w:numPr>
          <w:ilvl w:val="0"/>
          <w:numId w:val="6"/>
        </w:numPr>
        <w:spacing w:before="23" w:after="23"/>
        <w:rPr>
          <w:rFonts w:ascii="Trebuchet MS" w:hAnsi="Trebuchet MS" w:cs="Tahoma"/>
          <w:sz w:val="20"/>
          <w:szCs w:val="20"/>
        </w:rPr>
      </w:pPr>
      <w:r w:rsidRPr="00585921">
        <w:rPr>
          <w:rFonts w:ascii="Trebuchet MS" w:hAnsi="Trebuchet MS" w:cs="Tahoma"/>
          <w:snapToGrid w:val="0"/>
          <w:sz w:val="20"/>
          <w:szCs w:val="20"/>
        </w:rPr>
        <w:t xml:space="preserve">Ochrona ubezpieczeniowa rozpoczyna się w momencie,  w którym obiekt zostanie ruszony z miejsca, w którym  był przechowywany, bez znaczenia czy właściwy transport w tym momencie został rozpoczęty lub czy obiekt będzie jeszcze pakowany. </w:t>
      </w:r>
    </w:p>
    <w:p w14:paraId="7A6DA231" w14:textId="77777777" w:rsidR="000C37F2" w:rsidRPr="00585921" w:rsidRDefault="000C37F2" w:rsidP="000C37F2">
      <w:pPr>
        <w:pStyle w:val="Tekstkomentarza"/>
        <w:numPr>
          <w:ilvl w:val="0"/>
          <w:numId w:val="6"/>
        </w:numPr>
        <w:tabs>
          <w:tab w:val="left" w:pos="3472"/>
        </w:tabs>
        <w:spacing w:after="120" w:line="276" w:lineRule="auto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</w:rPr>
        <w:t xml:space="preserve">Transport odbywa się na Instytutowych Klauzulach Ładunkowych ICC A 1/1/09 </w:t>
      </w:r>
      <w:r w:rsidRPr="00585921">
        <w:rPr>
          <w:rFonts w:ascii="Trebuchet MS" w:hAnsi="Trebuchet MS" w:cs="Tahoma"/>
        </w:rPr>
        <w:t>z zakresem pełnym – z uwzględnieniem ryzyka załadunku oraz rozładunku. Ochrona w tym zakresie rozpoczyna się z chwilą załadunku towaru na środek transportu, a kończy się w momencie zakończenia rozładunku.</w:t>
      </w:r>
    </w:p>
    <w:p w14:paraId="5AF434ED" w14:textId="77777777" w:rsidR="000C37F2" w:rsidRPr="00585921" w:rsidRDefault="000C37F2" w:rsidP="000C37F2">
      <w:pPr>
        <w:pStyle w:val="Tekstkomentarza"/>
        <w:numPr>
          <w:ilvl w:val="0"/>
          <w:numId w:val="6"/>
        </w:numPr>
        <w:tabs>
          <w:tab w:val="left" w:pos="3472"/>
        </w:tabs>
        <w:spacing w:after="120" w:line="276" w:lineRule="auto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>Ochrona ubezpieczeniowa trwa podczas transportu, postojów przejściowych w miejscach pakowania,  obiektach celnych, magazynach i w innych podobnych miejscach w trakcie transportu oraz podczas ekspozycji i  w miejscach składowania przed i po ekspozycji. Ochrona udzielona będzie m.in. w związku z czynnościami takimi jak: wyjęcie z ram i ponowne umieszczenie dzieła sztuki w ramach, przenoszenie, pakowanie, rozpakowywanie, montaż, demontaż, załadunek, rozładunek, przewóz, składowanie, okres aklimatyzacji.</w:t>
      </w:r>
    </w:p>
    <w:p w14:paraId="659F3D24" w14:textId="77777777" w:rsidR="000C37F2" w:rsidRPr="00585921" w:rsidRDefault="000C37F2" w:rsidP="000C37F2">
      <w:pPr>
        <w:pStyle w:val="Tekstkomentarza"/>
        <w:numPr>
          <w:ilvl w:val="0"/>
          <w:numId w:val="6"/>
        </w:numPr>
        <w:tabs>
          <w:tab w:val="left" w:pos="3472"/>
        </w:tabs>
        <w:spacing w:after="120" w:line="276" w:lineRule="auto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 xml:space="preserve">Okres ubezpieczenia poszczególnych obiektów będzie uzależniony od terminu wystawy, terminów i długości trwania transportów i </w:t>
      </w:r>
      <w:proofErr w:type="spellStart"/>
      <w:r w:rsidRPr="00585921">
        <w:rPr>
          <w:rFonts w:ascii="Trebuchet MS" w:hAnsi="Trebuchet MS" w:cs="Tahoma"/>
          <w:snapToGrid w:val="0"/>
          <w:lang w:eastAsia="en-US"/>
        </w:rPr>
        <w:t>retransportów</w:t>
      </w:r>
      <w:proofErr w:type="spellEnd"/>
      <w:r w:rsidRPr="00585921">
        <w:rPr>
          <w:rFonts w:ascii="Trebuchet MS" w:hAnsi="Trebuchet MS" w:cs="Tahoma"/>
          <w:snapToGrid w:val="0"/>
          <w:lang w:eastAsia="en-US"/>
        </w:rPr>
        <w:t xml:space="preserve"> w związku z dostarczeniem i zwrotem obiektów. </w:t>
      </w:r>
    </w:p>
    <w:p w14:paraId="28F96E23" w14:textId="77777777" w:rsidR="000C37F2" w:rsidRPr="00585921" w:rsidRDefault="000C37F2" w:rsidP="000C37F2">
      <w:pPr>
        <w:pStyle w:val="Tekstkomentarza"/>
        <w:numPr>
          <w:ilvl w:val="0"/>
          <w:numId w:val="6"/>
        </w:numPr>
        <w:tabs>
          <w:tab w:val="left" w:pos="3472"/>
        </w:tabs>
        <w:spacing w:after="120" w:line="276" w:lineRule="auto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 xml:space="preserve">Ochrona ubezpieczeniowa kończy się wraz z ponownym rozpakowaniem obiektu i usadowieniem go na swoim dotychczasowym miejscu bądź na nowym oddanym do dyspozycji miejscu. </w:t>
      </w:r>
    </w:p>
    <w:p w14:paraId="04030950" w14:textId="77777777" w:rsidR="000C37F2" w:rsidRPr="00585921" w:rsidRDefault="000C37F2" w:rsidP="000C37F2">
      <w:pPr>
        <w:pStyle w:val="Tekstkomentarza"/>
        <w:numPr>
          <w:ilvl w:val="0"/>
          <w:numId w:val="6"/>
        </w:numPr>
        <w:tabs>
          <w:tab w:val="left" w:pos="3472"/>
        </w:tabs>
        <w:spacing w:after="120" w:line="276" w:lineRule="auto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>Pierwszy transport odbędzie się 28.05.2018 r.</w:t>
      </w:r>
    </w:p>
    <w:p w14:paraId="0388F851" w14:textId="77777777" w:rsidR="000C37F2" w:rsidRPr="00585921" w:rsidRDefault="000C37F2" w:rsidP="000C37F2">
      <w:pPr>
        <w:pStyle w:val="Tekstkomentarza"/>
        <w:numPr>
          <w:ilvl w:val="0"/>
          <w:numId w:val="6"/>
        </w:numPr>
        <w:tabs>
          <w:tab w:val="left" w:pos="3472"/>
        </w:tabs>
        <w:spacing w:line="276" w:lineRule="auto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 xml:space="preserve">Szczegóły dotyczące oczekiwanego zakresu ochrony – ochrona obejmuje zakres zgodny z pkt II </w:t>
      </w:r>
      <w:proofErr w:type="spellStart"/>
      <w:r w:rsidRPr="00585921">
        <w:rPr>
          <w:rFonts w:ascii="Trebuchet MS" w:hAnsi="Trebuchet MS" w:cs="Tahoma"/>
          <w:snapToGrid w:val="0"/>
          <w:lang w:eastAsia="en-US"/>
        </w:rPr>
        <w:t>ppkt</w:t>
      </w:r>
      <w:proofErr w:type="spellEnd"/>
      <w:r w:rsidRPr="00585921">
        <w:rPr>
          <w:rFonts w:ascii="Trebuchet MS" w:hAnsi="Trebuchet MS" w:cs="Tahoma"/>
          <w:snapToGrid w:val="0"/>
          <w:lang w:eastAsia="en-US"/>
        </w:rPr>
        <w:t xml:space="preserve"> 3 powyżej, w tym m.in.:</w:t>
      </w:r>
    </w:p>
    <w:p w14:paraId="38AADC05" w14:textId="77777777" w:rsidR="000C37F2" w:rsidRPr="00585921" w:rsidRDefault="000C37F2" w:rsidP="000C37F2">
      <w:pPr>
        <w:pStyle w:val="Tekstkomentarza"/>
        <w:numPr>
          <w:ilvl w:val="1"/>
          <w:numId w:val="4"/>
        </w:numPr>
        <w:tabs>
          <w:tab w:val="left" w:pos="3472"/>
        </w:tabs>
        <w:spacing w:line="276" w:lineRule="auto"/>
        <w:ind w:left="993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lastRenderedPageBreak/>
        <w:t>wypadek środka transportu;</w:t>
      </w:r>
    </w:p>
    <w:p w14:paraId="0DC7862F" w14:textId="77777777" w:rsidR="000C37F2" w:rsidRPr="00585921" w:rsidRDefault="000C37F2" w:rsidP="000C37F2">
      <w:pPr>
        <w:pStyle w:val="Tekstkomentarza"/>
        <w:numPr>
          <w:ilvl w:val="1"/>
          <w:numId w:val="4"/>
        </w:numPr>
        <w:tabs>
          <w:tab w:val="left" w:pos="3472"/>
        </w:tabs>
        <w:spacing w:line="276" w:lineRule="auto"/>
        <w:ind w:left="993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>uszkodzenie mechaniczne przedmiotów delikatnych;</w:t>
      </w:r>
    </w:p>
    <w:p w14:paraId="3A736ECC" w14:textId="373203C6" w:rsidR="000C37F2" w:rsidRPr="00585921" w:rsidRDefault="000C37F2" w:rsidP="000C37F2">
      <w:pPr>
        <w:pStyle w:val="Tekstkomentarza"/>
        <w:numPr>
          <w:ilvl w:val="1"/>
          <w:numId w:val="4"/>
        </w:numPr>
        <w:tabs>
          <w:tab w:val="left" w:pos="3472"/>
        </w:tabs>
        <w:spacing w:line="276" w:lineRule="auto"/>
        <w:ind w:left="993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>szkody wynikające ze zdarzeń losowych min. pożar, uderzenie pioruna, przepięcia, zalanie, eksplozja, huragan, deszcz, upadek  drzew lub budowli, zawilgocenie, dym, sadza</w:t>
      </w:r>
      <w:r w:rsidR="00890310">
        <w:rPr>
          <w:rFonts w:ascii="Trebuchet MS" w:hAnsi="Trebuchet MS" w:cs="Tahoma"/>
          <w:snapToGrid w:val="0"/>
          <w:lang w:eastAsia="en-US"/>
        </w:rPr>
        <w:t>, akcji ratowniczej</w:t>
      </w:r>
      <w:r w:rsidRPr="00585921">
        <w:rPr>
          <w:rFonts w:ascii="Trebuchet MS" w:hAnsi="Trebuchet MS" w:cs="Tahoma"/>
          <w:snapToGrid w:val="0"/>
          <w:lang w:eastAsia="en-US"/>
        </w:rPr>
        <w:t>;</w:t>
      </w:r>
    </w:p>
    <w:p w14:paraId="796E6B03" w14:textId="77777777" w:rsidR="000C37F2" w:rsidRPr="00585921" w:rsidRDefault="000C37F2" w:rsidP="000C37F2">
      <w:pPr>
        <w:pStyle w:val="Tekstkomentarza"/>
        <w:numPr>
          <w:ilvl w:val="1"/>
          <w:numId w:val="4"/>
        </w:numPr>
        <w:tabs>
          <w:tab w:val="left" w:pos="3472"/>
        </w:tabs>
        <w:spacing w:line="276" w:lineRule="auto"/>
        <w:ind w:left="993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>naturalne kataklizmy takie jak trzęsienie ziemi, tornado, burza, huragan, powódź i grad;</w:t>
      </w:r>
    </w:p>
    <w:p w14:paraId="1E64E884" w14:textId="77777777" w:rsidR="000C37F2" w:rsidRPr="00585921" w:rsidRDefault="000C37F2" w:rsidP="000C37F2">
      <w:pPr>
        <w:pStyle w:val="Tekstkomentarza"/>
        <w:numPr>
          <w:ilvl w:val="1"/>
          <w:numId w:val="4"/>
        </w:numPr>
        <w:tabs>
          <w:tab w:val="left" w:pos="3472"/>
        </w:tabs>
        <w:spacing w:line="276" w:lineRule="auto"/>
        <w:ind w:left="993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>szkody wyrządzone umyślnie lub wskutek rażącego niedbalstwa, z wyłączeniem szkód spowodowanych przez reprezentantów (przez reprezentantów należy rozumieć: dyrektora Muzeum Śląskiego w Katowicach oraz jego zastępców);</w:t>
      </w:r>
    </w:p>
    <w:p w14:paraId="2038C5C1" w14:textId="47FDA24E" w:rsidR="000C37F2" w:rsidRPr="00585921" w:rsidRDefault="000C37F2" w:rsidP="000C37F2">
      <w:pPr>
        <w:pStyle w:val="Tekstkomentarza"/>
        <w:numPr>
          <w:ilvl w:val="1"/>
          <w:numId w:val="4"/>
        </w:numPr>
        <w:tabs>
          <w:tab w:val="left" w:pos="3472"/>
        </w:tabs>
        <w:spacing w:line="276" w:lineRule="auto"/>
        <w:ind w:left="993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 xml:space="preserve">szkody będące działaniem osób trzecich: wandalizm/dewastacja, </w:t>
      </w:r>
      <w:r w:rsidR="008A5622" w:rsidRPr="00585921">
        <w:rPr>
          <w:rFonts w:ascii="Trebuchet MS" w:hAnsi="Trebuchet MS" w:cs="Tahoma"/>
          <w:snapToGrid w:val="0"/>
          <w:lang w:eastAsia="en-US"/>
        </w:rPr>
        <w:t xml:space="preserve">nierozważne, </w:t>
      </w:r>
      <w:r w:rsidRPr="00585921">
        <w:rPr>
          <w:rFonts w:ascii="Trebuchet MS" w:hAnsi="Trebuchet MS" w:cs="Tahoma"/>
          <w:snapToGrid w:val="0"/>
          <w:lang w:eastAsia="en-US"/>
        </w:rPr>
        <w:t>umyślne lub złośliwe działanie;</w:t>
      </w:r>
    </w:p>
    <w:p w14:paraId="50A1F9E3" w14:textId="77777777" w:rsidR="00C43BB3" w:rsidRPr="00585921" w:rsidRDefault="000C37F2" w:rsidP="00585921">
      <w:pPr>
        <w:pStyle w:val="Tekstkomentarza"/>
        <w:numPr>
          <w:ilvl w:val="1"/>
          <w:numId w:val="4"/>
        </w:numPr>
        <w:tabs>
          <w:tab w:val="left" w:pos="3472"/>
        </w:tabs>
        <w:spacing w:line="276" w:lineRule="auto"/>
        <w:ind w:left="993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>utratę obiektu poprzez kradzież, kradzież z włamaniem, kradzież z włamaniem z zaborem środka  transportu, rabunek oraz sprzeniewierzenie oraz defraudacja przez pracowników Ubezpieczającego</w:t>
      </w:r>
      <w:r w:rsidR="00C43BB3" w:rsidRPr="00585921">
        <w:rPr>
          <w:rFonts w:ascii="Trebuchet MS" w:hAnsi="Trebuchet MS" w:cs="Tahoma"/>
          <w:snapToGrid w:val="0"/>
          <w:lang w:eastAsia="en-US"/>
        </w:rPr>
        <w:t>;</w:t>
      </w:r>
    </w:p>
    <w:p w14:paraId="45D4F11A" w14:textId="79B06E33" w:rsidR="00DC2BE5" w:rsidRPr="00585921" w:rsidRDefault="00DC2BE5" w:rsidP="00585921">
      <w:pPr>
        <w:pStyle w:val="Tekstkomentarza"/>
        <w:numPr>
          <w:ilvl w:val="1"/>
          <w:numId w:val="4"/>
        </w:numPr>
        <w:tabs>
          <w:tab w:val="left" w:pos="3472"/>
        </w:tabs>
        <w:spacing w:line="276" w:lineRule="auto"/>
        <w:ind w:left="993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 xml:space="preserve">szkody wynikające ze zmian czynników mikroklimatycznych (np. zmian temperatury, wilgotności), </w:t>
      </w:r>
      <w:r w:rsidR="008A5622" w:rsidRPr="00585921">
        <w:rPr>
          <w:rFonts w:ascii="Trebuchet MS" w:hAnsi="Trebuchet MS" w:cs="Tahoma"/>
          <w:snapToGrid w:val="0"/>
          <w:lang w:eastAsia="en-US"/>
        </w:rPr>
        <w:t>w sytuacji, gdy są one niezależne od Ubezpieczającego;</w:t>
      </w:r>
      <w:r w:rsidRPr="00585921">
        <w:rPr>
          <w:rFonts w:ascii="Trebuchet MS" w:hAnsi="Trebuchet MS" w:cs="Tahoma"/>
          <w:snapToGrid w:val="0"/>
          <w:lang w:eastAsia="en-US"/>
        </w:rPr>
        <w:t xml:space="preserve"> </w:t>
      </w:r>
    </w:p>
    <w:p w14:paraId="5CF0AF83" w14:textId="4DABFE4D" w:rsidR="00C43BB3" w:rsidRPr="00585921" w:rsidRDefault="00C43BB3" w:rsidP="00585921">
      <w:pPr>
        <w:pStyle w:val="Tekstkomentarza"/>
        <w:numPr>
          <w:ilvl w:val="1"/>
          <w:numId w:val="4"/>
        </w:numPr>
        <w:tabs>
          <w:tab w:val="left" w:pos="3472"/>
        </w:tabs>
        <w:spacing w:line="276" w:lineRule="auto"/>
        <w:ind w:left="993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>zdarzenia takie jak: strajki, lokauty, rozruchy lub zamieszki społeczne, akty terrorystyczne bądź działania osób działających z pobudek politycznych, ideologicznych lub religijnych</w:t>
      </w:r>
      <w:r w:rsidR="00DC2BE5" w:rsidRPr="00585921">
        <w:rPr>
          <w:rFonts w:ascii="Trebuchet MS" w:hAnsi="Trebuchet MS" w:cs="Tahoma"/>
          <w:snapToGrid w:val="0"/>
          <w:lang w:eastAsia="en-US"/>
        </w:rPr>
        <w:t>;</w:t>
      </w:r>
    </w:p>
    <w:p w14:paraId="141D9363" w14:textId="117FBAD1" w:rsidR="00DC2BE5" w:rsidRPr="00585921" w:rsidRDefault="00DC2BE5" w:rsidP="00585921">
      <w:pPr>
        <w:pStyle w:val="Tekstkomentarza"/>
        <w:numPr>
          <w:ilvl w:val="1"/>
          <w:numId w:val="4"/>
        </w:numPr>
        <w:tabs>
          <w:tab w:val="left" w:pos="3472"/>
        </w:tabs>
        <w:spacing w:line="276" w:lineRule="auto"/>
        <w:ind w:left="993"/>
        <w:jc w:val="both"/>
        <w:rPr>
          <w:rFonts w:ascii="Trebuchet MS" w:hAnsi="Trebuchet MS" w:cs="Tahoma"/>
          <w:snapToGrid w:val="0"/>
          <w:lang w:eastAsia="en-US"/>
        </w:rPr>
      </w:pPr>
      <w:r w:rsidRPr="00585921">
        <w:rPr>
          <w:rFonts w:ascii="Trebuchet MS" w:hAnsi="Trebuchet MS" w:cs="Tahoma"/>
          <w:snapToGrid w:val="0"/>
          <w:lang w:eastAsia="en-US"/>
        </w:rPr>
        <w:t>szkody w związku z załadunkiem/rozładunkiem</w:t>
      </w:r>
      <w:r w:rsidRPr="00585921">
        <w:rPr>
          <w:rFonts w:ascii="Trebuchet MS" w:hAnsi="Trebuchet MS" w:cs="Arial"/>
        </w:rPr>
        <w:t>.</w:t>
      </w:r>
    </w:p>
    <w:p w14:paraId="5A4706DA" w14:textId="77777777" w:rsidR="000C37F2" w:rsidRPr="00585921" w:rsidRDefault="000C37F2" w:rsidP="000C37F2">
      <w:pPr>
        <w:pStyle w:val="Tekstkomentarza"/>
        <w:tabs>
          <w:tab w:val="left" w:pos="3472"/>
        </w:tabs>
        <w:spacing w:after="120" w:line="276" w:lineRule="auto"/>
        <w:ind w:left="993"/>
        <w:jc w:val="both"/>
        <w:rPr>
          <w:rFonts w:ascii="Trebuchet MS" w:hAnsi="Trebuchet MS" w:cs="Tahoma"/>
          <w:snapToGrid w:val="0"/>
          <w:lang w:eastAsia="en-US"/>
        </w:rPr>
      </w:pPr>
    </w:p>
    <w:p w14:paraId="71DEB308" w14:textId="77777777" w:rsidR="000C37F2" w:rsidRPr="00585921" w:rsidRDefault="000C37F2" w:rsidP="000C37F2">
      <w:pPr>
        <w:pStyle w:val="Default"/>
        <w:numPr>
          <w:ilvl w:val="2"/>
          <w:numId w:val="2"/>
        </w:numPr>
        <w:spacing w:line="276" w:lineRule="auto"/>
        <w:ind w:left="567" w:hanging="567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b/>
          <w:bCs/>
          <w:color w:val="auto"/>
          <w:sz w:val="20"/>
          <w:szCs w:val="20"/>
        </w:rPr>
        <w:t>Ustalanie wysokości szkody i odszkodowania</w:t>
      </w:r>
    </w:p>
    <w:p w14:paraId="078731F2" w14:textId="77777777" w:rsidR="000C37F2" w:rsidRPr="00585921" w:rsidRDefault="000C37F2" w:rsidP="000C37F2">
      <w:pPr>
        <w:pStyle w:val="Akapitzlist"/>
        <w:numPr>
          <w:ilvl w:val="3"/>
          <w:numId w:val="4"/>
        </w:numPr>
        <w:spacing w:after="0"/>
        <w:ind w:left="567" w:hanging="567"/>
        <w:rPr>
          <w:rFonts w:ascii="Trebuchet MS" w:hAnsi="Trebuchet MS"/>
          <w:sz w:val="20"/>
          <w:szCs w:val="20"/>
        </w:rPr>
      </w:pPr>
      <w:r w:rsidRPr="00585921">
        <w:rPr>
          <w:rFonts w:ascii="Trebuchet MS" w:hAnsi="Trebuchet MS"/>
          <w:sz w:val="20"/>
          <w:szCs w:val="20"/>
        </w:rPr>
        <w:t>Wypłata odszkodowania następuje w terminie 30 dni od daty zawiadomienia Wykonawcy o szkodzie. Gdyby wyjaśnienie w powyższym terminie okoliczności koniecznych do ustalenia odpowiedzialności Wykonawcy albo wysokości odszkodowania okazało się niemożliwe, odszkodowanie powinno zostać wypłacone w ciągu 14 dni od dnia, w którym przy zachowaniu należytej staranności wyjaśnienie tych okoliczności było możliwe. Jednakże bezsporną część odszkodowania Wykonawca wypłaci w terminie 30 dni.</w:t>
      </w:r>
    </w:p>
    <w:p w14:paraId="6893C417" w14:textId="77777777" w:rsidR="000C37F2" w:rsidRPr="00585921" w:rsidRDefault="000C37F2" w:rsidP="000C37F2">
      <w:pPr>
        <w:pStyle w:val="Default"/>
        <w:numPr>
          <w:ilvl w:val="3"/>
          <w:numId w:val="4"/>
        </w:numPr>
        <w:spacing w:line="276" w:lineRule="auto"/>
        <w:ind w:left="567" w:hanging="567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 xml:space="preserve">Jako wysokość szkody przyjmuje się: </w:t>
      </w:r>
    </w:p>
    <w:p w14:paraId="07D68285" w14:textId="77777777" w:rsidR="000C37F2" w:rsidRPr="00585921" w:rsidRDefault="000C37F2" w:rsidP="000C37F2">
      <w:pPr>
        <w:pStyle w:val="Default"/>
        <w:numPr>
          <w:ilvl w:val="2"/>
          <w:numId w:val="7"/>
        </w:numPr>
        <w:spacing w:after="13" w:line="276" w:lineRule="auto"/>
        <w:ind w:left="993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 xml:space="preserve">w przypadku utraty lub całkowitego uszkodzenia przedmiotu ubezpieczenia albo takiego jego uszkodzenia, że nie nadaje się on do naprawy (restauracji) – wartość przedmiotu ubezpieczenia (suma ubezpieczenia), </w:t>
      </w:r>
    </w:p>
    <w:p w14:paraId="4B59EBD4" w14:textId="7CAE42BA" w:rsidR="000C37F2" w:rsidRPr="00585921" w:rsidRDefault="000C37F2" w:rsidP="000C37F2">
      <w:pPr>
        <w:pStyle w:val="Default"/>
        <w:numPr>
          <w:ilvl w:val="2"/>
          <w:numId w:val="7"/>
        </w:numPr>
        <w:spacing w:after="13" w:line="276" w:lineRule="auto"/>
        <w:ind w:left="993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w razie uszkodzenia przedmiotu ubezpieczenia w stopniu kwalifikującym do naprawy (restauracji) – rzeczywisty koszt naprawy (restauracji), ustalony na podstawie planu konserwatorskiego ustalonego przez Użyczającego/Ubezpieczonego oraz określoną przez komisję powołaną przez użyczającego/</w:t>
      </w:r>
      <w:r w:rsidR="00C43BB3" w:rsidRPr="00585921">
        <w:rPr>
          <w:rFonts w:ascii="Trebuchet MS" w:hAnsi="Trebuchet MS"/>
          <w:color w:val="auto"/>
          <w:sz w:val="20"/>
          <w:szCs w:val="20"/>
        </w:rPr>
        <w:t xml:space="preserve"> </w:t>
      </w:r>
      <w:r w:rsidRPr="00585921">
        <w:rPr>
          <w:rFonts w:ascii="Trebuchet MS" w:hAnsi="Trebuchet MS"/>
          <w:color w:val="auto"/>
          <w:sz w:val="20"/>
          <w:szCs w:val="20"/>
        </w:rPr>
        <w:t xml:space="preserve">ubezpieczonego, różnicę pomiędzy wartością przedmiotu ubezpieczenia określoną w niniejszej umowie (sumą ubezpieczenia) a zmniejszoną wartością przedmiotu ubezpieczenia po szkodzie, </w:t>
      </w:r>
    </w:p>
    <w:p w14:paraId="53B8F0BE" w14:textId="110BD971" w:rsidR="000C37F2" w:rsidRPr="00585921" w:rsidRDefault="000C37F2" w:rsidP="000C37F2">
      <w:pPr>
        <w:pStyle w:val="Default"/>
        <w:numPr>
          <w:ilvl w:val="2"/>
          <w:numId w:val="7"/>
        </w:numPr>
        <w:spacing w:line="276" w:lineRule="auto"/>
        <w:ind w:left="993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w Ubezpieczyciel pokrywa dodatkowo poniesione przez Ubezpieczającego/</w:t>
      </w:r>
      <w:r w:rsidR="002A0E48">
        <w:rPr>
          <w:rFonts w:ascii="Trebuchet MS" w:hAnsi="Trebuchet MS"/>
          <w:color w:val="auto"/>
          <w:sz w:val="20"/>
          <w:szCs w:val="20"/>
        </w:rPr>
        <w:t xml:space="preserve"> </w:t>
      </w:r>
      <w:r w:rsidRPr="00585921">
        <w:rPr>
          <w:rFonts w:ascii="Trebuchet MS" w:hAnsi="Trebuchet MS"/>
          <w:color w:val="auto"/>
          <w:sz w:val="20"/>
          <w:szCs w:val="20"/>
        </w:rPr>
        <w:t>Ubezpieczonego i udokumentowane koszty</w:t>
      </w:r>
      <w:r w:rsidR="00890310">
        <w:rPr>
          <w:rFonts w:ascii="Trebuchet MS" w:hAnsi="Trebuchet MS"/>
          <w:color w:val="auto"/>
          <w:sz w:val="20"/>
          <w:szCs w:val="20"/>
        </w:rPr>
        <w:t xml:space="preserve"> ponad sumę ubezpieczenia</w:t>
      </w:r>
      <w:r w:rsidR="002A0E48">
        <w:rPr>
          <w:rFonts w:ascii="Trebuchet MS" w:hAnsi="Trebuchet MS"/>
          <w:color w:val="auto"/>
          <w:sz w:val="20"/>
          <w:szCs w:val="20"/>
        </w:rPr>
        <w:t>, jednak nie więcej niż 2.0</w:t>
      </w:r>
      <w:r w:rsidR="00121BD5">
        <w:rPr>
          <w:rFonts w:ascii="Trebuchet MS" w:hAnsi="Trebuchet MS"/>
          <w:color w:val="auto"/>
          <w:sz w:val="20"/>
          <w:szCs w:val="20"/>
        </w:rPr>
        <w:t>00.000zł w okresie ubezpieczenia</w:t>
      </w:r>
      <w:r w:rsidRPr="00585921">
        <w:rPr>
          <w:rFonts w:ascii="Trebuchet MS" w:hAnsi="Trebuchet MS"/>
          <w:color w:val="auto"/>
          <w:sz w:val="20"/>
          <w:szCs w:val="20"/>
        </w:rPr>
        <w:t xml:space="preserve">: </w:t>
      </w:r>
    </w:p>
    <w:p w14:paraId="78F882DC" w14:textId="6589EFA9" w:rsidR="000C37F2" w:rsidRPr="00585921" w:rsidRDefault="000C37F2" w:rsidP="000C37F2">
      <w:pPr>
        <w:pStyle w:val="Default"/>
        <w:numPr>
          <w:ilvl w:val="0"/>
          <w:numId w:val="5"/>
        </w:numPr>
        <w:spacing w:line="276" w:lineRule="auto"/>
        <w:ind w:left="1134" w:hanging="141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 xml:space="preserve">ratunku przedmiotu ubezpieczenia, mające na celu zmniejszenie strat lub niedopuszczenie do ich zwiększenia, </w:t>
      </w:r>
      <w:r w:rsidR="00890310">
        <w:rPr>
          <w:rFonts w:ascii="Trebuchet MS" w:hAnsi="Trebuchet MS"/>
          <w:color w:val="auto"/>
          <w:sz w:val="20"/>
          <w:szCs w:val="20"/>
        </w:rPr>
        <w:t xml:space="preserve">oraz kosztów uprzątnięcia pozostałości (m.in. rozbiórka, </w:t>
      </w:r>
      <w:r w:rsidR="002A0E48">
        <w:rPr>
          <w:rFonts w:ascii="Trebuchet MS" w:hAnsi="Trebuchet MS"/>
          <w:color w:val="auto"/>
          <w:sz w:val="20"/>
          <w:szCs w:val="20"/>
        </w:rPr>
        <w:t>demontaż)</w:t>
      </w:r>
      <w:bookmarkStart w:id="0" w:name="_GoBack"/>
      <w:bookmarkEnd w:id="0"/>
      <w:r w:rsidR="00890310">
        <w:rPr>
          <w:rFonts w:ascii="Trebuchet MS" w:hAnsi="Trebuchet MS"/>
          <w:color w:val="auto"/>
          <w:sz w:val="20"/>
          <w:szCs w:val="20"/>
        </w:rPr>
        <w:t xml:space="preserve"> </w:t>
      </w:r>
    </w:p>
    <w:p w14:paraId="70C129F4" w14:textId="6B8C2D3E" w:rsidR="000C37F2" w:rsidRDefault="000C37F2" w:rsidP="000C37F2">
      <w:pPr>
        <w:pStyle w:val="Default"/>
        <w:numPr>
          <w:ilvl w:val="0"/>
          <w:numId w:val="5"/>
        </w:numPr>
        <w:spacing w:line="276" w:lineRule="auto"/>
        <w:ind w:left="1134" w:hanging="141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wynagrodzenia rzeczoznawców, powołanych w celu ustalenia okoliczności</w:t>
      </w:r>
      <w:r w:rsidR="00890310">
        <w:rPr>
          <w:rFonts w:ascii="Trebuchet MS" w:hAnsi="Trebuchet MS"/>
          <w:color w:val="auto"/>
          <w:sz w:val="20"/>
          <w:szCs w:val="20"/>
        </w:rPr>
        <w:t xml:space="preserve"> zdarzenia lub rozmiarów szkody,</w:t>
      </w:r>
    </w:p>
    <w:p w14:paraId="2E9BF2CC" w14:textId="1CBF96DC" w:rsidR="00890310" w:rsidRPr="007646B1" w:rsidRDefault="00890310" w:rsidP="007646B1">
      <w:pPr>
        <w:pStyle w:val="Default"/>
        <w:numPr>
          <w:ilvl w:val="0"/>
          <w:numId w:val="5"/>
        </w:numPr>
        <w:spacing w:line="276" w:lineRule="auto"/>
        <w:ind w:left="1134" w:hanging="141"/>
        <w:jc w:val="both"/>
        <w:rPr>
          <w:rFonts w:ascii="Trebuchet MS" w:hAnsi="Trebuchet MS"/>
          <w:color w:val="auto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t>koszty delegacji ubezpieczonego lub jego przedstawiciela na miejsce szkody</w:t>
      </w:r>
      <w:r w:rsidR="007646B1">
        <w:rPr>
          <w:rFonts w:ascii="Trebuchet MS" w:hAnsi="Trebuchet MS"/>
          <w:color w:val="auto"/>
          <w:sz w:val="20"/>
          <w:szCs w:val="20"/>
        </w:rPr>
        <w:t>.</w:t>
      </w:r>
    </w:p>
    <w:p w14:paraId="3D73758B" w14:textId="77777777" w:rsidR="000C37F2" w:rsidRPr="00585921" w:rsidRDefault="000C37F2" w:rsidP="000C37F2">
      <w:pPr>
        <w:pStyle w:val="Default"/>
        <w:numPr>
          <w:ilvl w:val="2"/>
          <w:numId w:val="7"/>
        </w:numPr>
        <w:spacing w:line="276" w:lineRule="auto"/>
        <w:ind w:left="567" w:hanging="567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 xml:space="preserve">Odszkodowanie ustala się w kwocie odpowiadającej wysokości szkody oraz wymienionych wyżej kosztów, z zastrzeżeniem, że wysokość odszkodowania nie może przekroczyć sumy ubezpieczenia. </w:t>
      </w:r>
    </w:p>
    <w:p w14:paraId="117131BC" w14:textId="77777777" w:rsidR="000C37F2" w:rsidRPr="00585921" w:rsidRDefault="000C37F2" w:rsidP="000C37F2">
      <w:pPr>
        <w:pStyle w:val="Default"/>
        <w:numPr>
          <w:ilvl w:val="3"/>
          <w:numId w:val="4"/>
        </w:numPr>
        <w:spacing w:line="276" w:lineRule="auto"/>
        <w:ind w:left="567" w:hanging="567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W przypadku decyzji o szkodzie całkowitej nie będzie ona naruszała prawa własności w stosunku do wypożyczanych dzieł, chyba, że podjęta zostanie odmienna decyzja przez Ubezpieczonego.</w:t>
      </w:r>
    </w:p>
    <w:p w14:paraId="3E8DC3C7" w14:textId="77777777" w:rsidR="000C37F2" w:rsidRPr="00585921" w:rsidRDefault="000C37F2" w:rsidP="000C37F2">
      <w:pPr>
        <w:pStyle w:val="Default"/>
        <w:numPr>
          <w:ilvl w:val="3"/>
          <w:numId w:val="4"/>
        </w:numPr>
        <w:spacing w:line="276" w:lineRule="auto"/>
        <w:ind w:left="567" w:hanging="567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W przypadku gdy skradzione przedmioty zostaną odnalezione:</w:t>
      </w:r>
    </w:p>
    <w:p w14:paraId="5F9C71E6" w14:textId="4829ECE8" w:rsidR="000C37F2" w:rsidRPr="00585921" w:rsidRDefault="000C37F2" w:rsidP="000C37F2">
      <w:pPr>
        <w:pStyle w:val="Akapitzlist"/>
        <w:numPr>
          <w:ilvl w:val="0"/>
          <w:numId w:val="8"/>
        </w:numPr>
        <w:spacing w:after="0"/>
        <w:ind w:left="993"/>
        <w:rPr>
          <w:rFonts w:ascii="Trebuchet MS" w:hAnsi="Trebuchet MS" w:cs="Arial"/>
          <w:sz w:val="20"/>
          <w:szCs w:val="20"/>
        </w:rPr>
      </w:pPr>
      <w:r w:rsidRPr="00585921">
        <w:rPr>
          <w:rFonts w:ascii="Trebuchet MS" w:hAnsi="Trebuchet MS" w:cs="Arial"/>
          <w:sz w:val="20"/>
          <w:szCs w:val="20"/>
        </w:rPr>
        <w:lastRenderedPageBreak/>
        <w:t>W przypadku gdy przedmiot został odzyskany zanim wypłacono pełne odszkodowanie za przedmiot, prawo do odszkodowania przysługuje, pod warunkiem oddania przedmiotu do dyspozycji Wykonawcy. W przeciwnym razie istnieje obowiązek zwrotu zaliczki bądź wartości odszkodowania wypłaconego w związku z odzyskanym przedmiotem jeżeli zostały wypłacone.</w:t>
      </w:r>
    </w:p>
    <w:p w14:paraId="0FCA5EC6" w14:textId="77777777" w:rsidR="000C37F2" w:rsidRPr="00585921" w:rsidRDefault="000C37F2" w:rsidP="000C37F2">
      <w:pPr>
        <w:pStyle w:val="Akapitzlist"/>
        <w:numPr>
          <w:ilvl w:val="0"/>
          <w:numId w:val="8"/>
        </w:numPr>
        <w:spacing w:after="0"/>
        <w:ind w:left="993"/>
        <w:rPr>
          <w:rFonts w:ascii="Trebuchet MS" w:hAnsi="Trebuchet MS" w:cs="Arial"/>
          <w:sz w:val="20"/>
          <w:szCs w:val="20"/>
        </w:rPr>
      </w:pPr>
      <w:r w:rsidRPr="00585921">
        <w:rPr>
          <w:rFonts w:ascii="Trebuchet MS" w:hAnsi="Trebuchet MS" w:cs="Arial"/>
          <w:sz w:val="20"/>
          <w:szCs w:val="20"/>
        </w:rPr>
        <w:t>W przypadku gdy przedmiot został odzyskany po dokonaniu wypłaty pełnej kwoty odszkodowania za ten przedmiot, istnieje obowiązek zwrotu odszkodowania lub oddania przedmiotu do dyspozycji Wykonawcy.</w:t>
      </w:r>
    </w:p>
    <w:p w14:paraId="61A279B7" w14:textId="77777777" w:rsidR="000C37F2" w:rsidRPr="00585921" w:rsidRDefault="000C37F2" w:rsidP="000C37F2">
      <w:pPr>
        <w:pStyle w:val="Akapitzlist"/>
        <w:numPr>
          <w:ilvl w:val="0"/>
          <w:numId w:val="8"/>
        </w:numPr>
        <w:spacing w:after="0"/>
        <w:ind w:left="993"/>
        <w:rPr>
          <w:rFonts w:ascii="Trebuchet MS" w:hAnsi="Trebuchet MS" w:cs="Arial"/>
          <w:sz w:val="20"/>
          <w:szCs w:val="20"/>
        </w:rPr>
      </w:pPr>
      <w:r w:rsidRPr="00585921">
        <w:rPr>
          <w:rFonts w:ascii="Trebuchet MS" w:hAnsi="Trebuchet MS" w:cs="Arial"/>
          <w:sz w:val="20"/>
          <w:szCs w:val="20"/>
        </w:rPr>
        <w:t xml:space="preserve">Wyboru pomiędzy wyżej wskazanymi możliwościami w pkt. a, b należy dokonać w przeciągu 30 dni od daty otrzymania pisemnego zawiadomienia od Wykonawcy, w którym zostaną wskazane również konsekwencje braku decyzji. Decyduje data stempla. Jeśli Ubezpieczony nie dokona wyboru przed upływem ww. terminu, prawo dokonania wyboru przysługuje Wykonawcy. </w:t>
      </w:r>
    </w:p>
    <w:p w14:paraId="31244CA1" w14:textId="77777777" w:rsidR="000C37F2" w:rsidRPr="00585921" w:rsidRDefault="000C37F2" w:rsidP="000C37F2">
      <w:pPr>
        <w:pStyle w:val="Akapitzlist"/>
        <w:numPr>
          <w:ilvl w:val="0"/>
          <w:numId w:val="8"/>
        </w:numPr>
        <w:spacing w:after="0"/>
        <w:ind w:left="993"/>
        <w:rPr>
          <w:rFonts w:ascii="Trebuchet MS" w:hAnsi="Trebuchet MS" w:cs="Arial"/>
          <w:sz w:val="20"/>
          <w:szCs w:val="20"/>
        </w:rPr>
      </w:pPr>
      <w:r w:rsidRPr="00585921">
        <w:rPr>
          <w:rFonts w:ascii="Trebuchet MS" w:hAnsi="Trebuchet MS" w:cs="Arial"/>
          <w:sz w:val="20"/>
          <w:szCs w:val="20"/>
        </w:rPr>
        <w:t>W przypadku gdy Ubezpieczony oddał odzyskany przedmiot do dyspozycji Wykonawcy, przekazuje on Wykonawcy prawo własności i pozostałe przysługujące mu prawa do tego przedmiotu.</w:t>
      </w:r>
    </w:p>
    <w:p w14:paraId="589C8C96" w14:textId="77777777" w:rsidR="000C37F2" w:rsidRPr="00585921" w:rsidRDefault="000C37F2" w:rsidP="000C37F2">
      <w:pPr>
        <w:pStyle w:val="Default"/>
        <w:numPr>
          <w:ilvl w:val="2"/>
          <w:numId w:val="7"/>
        </w:numPr>
        <w:spacing w:line="276" w:lineRule="auto"/>
        <w:ind w:left="993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 xml:space="preserve">W przypadku gdy odzyskane przedmioty są uszkodzone, Ubezpieczonemu przysługuje prawo zażądania zwrotu lub zachowania kwoty odpowiadającej kosztom koniecznej restauracji lub naprawy ustalonym zgodnie z zapisami pkt. III, o ile Ubezpieczony podjął decyzję o zachowaniu odzyskanego przedmiotu. </w:t>
      </w:r>
    </w:p>
    <w:p w14:paraId="08CA3701" w14:textId="77777777" w:rsidR="000C37F2" w:rsidRPr="00585921" w:rsidRDefault="000C37F2" w:rsidP="000C37F2">
      <w:pPr>
        <w:pStyle w:val="Default"/>
        <w:numPr>
          <w:ilvl w:val="3"/>
          <w:numId w:val="4"/>
        </w:numPr>
        <w:spacing w:line="276" w:lineRule="auto"/>
        <w:ind w:left="567" w:hanging="567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W przypadku kradzieży obiektu, który należy do pary lub kompletu Wykonawca zgadza sią wypłacić Ubezpieczonemu, wg jego decyzji: odszkodowanie za utracony obiekt lub pełną wartość pary lub kompletu, tak jak to zostało określone w sumie ubezpieczenia, w zamian za oddanie do dyspozycji Wykonawcy pozostałego obiektu od pary lub kompletu.</w:t>
      </w:r>
    </w:p>
    <w:p w14:paraId="50ACD30A" w14:textId="77777777" w:rsidR="000C37F2" w:rsidRPr="00585921" w:rsidRDefault="000C37F2" w:rsidP="000C37F2">
      <w:pPr>
        <w:pStyle w:val="Akapitzlist"/>
        <w:spacing w:after="0"/>
        <w:rPr>
          <w:rFonts w:ascii="Trebuchet MS" w:hAnsi="Trebuchet MS" w:cs="Arial"/>
          <w:sz w:val="20"/>
          <w:szCs w:val="20"/>
        </w:rPr>
      </w:pPr>
    </w:p>
    <w:p w14:paraId="112910E2" w14:textId="77777777" w:rsidR="000C37F2" w:rsidRPr="00585921" w:rsidRDefault="000C37F2" w:rsidP="000C37F2">
      <w:pPr>
        <w:pStyle w:val="Default"/>
        <w:numPr>
          <w:ilvl w:val="2"/>
          <w:numId w:val="2"/>
        </w:numPr>
        <w:spacing w:line="276" w:lineRule="auto"/>
        <w:ind w:left="567" w:hanging="567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b/>
          <w:color w:val="auto"/>
          <w:sz w:val="20"/>
          <w:szCs w:val="20"/>
        </w:rPr>
        <w:t>Franszyzy/Udziały własne</w:t>
      </w:r>
      <w:r w:rsidRPr="00585921">
        <w:rPr>
          <w:rFonts w:ascii="Trebuchet MS" w:hAnsi="Trebuchet MS"/>
          <w:color w:val="auto"/>
          <w:sz w:val="20"/>
          <w:szCs w:val="20"/>
        </w:rPr>
        <w:t>: brak</w:t>
      </w:r>
    </w:p>
    <w:p w14:paraId="6F79774E" w14:textId="77777777" w:rsidR="000C37F2" w:rsidRPr="00585921" w:rsidRDefault="000C37F2" w:rsidP="000C37F2">
      <w:pPr>
        <w:widowControl w:val="0"/>
        <w:tabs>
          <w:tab w:val="left" w:pos="1843"/>
        </w:tabs>
        <w:overflowPunct w:val="0"/>
        <w:autoSpaceDE w:val="0"/>
        <w:autoSpaceDN w:val="0"/>
        <w:adjustRightInd w:val="0"/>
        <w:spacing w:after="0"/>
        <w:textAlignment w:val="baseline"/>
        <w:outlineLvl w:val="2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</w:p>
    <w:p w14:paraId="21E2D6EF" w14:textId="77777777" w:rsidR="000C37F2" w:rsidRPr="00585921" w:rsidRDefault="000C37F2" w:rsidP="000C37F2">
      <w:pPr>
        <w:pStyle w:val="Akapitzlist"/>
        <w:widowControl w:val="0"/>
        <w:numPr>
          <w:ilvl w:val="2"/>
          <w:numId w:val="2"/>
        </w:numPr>
        <w:tabs>
          <w:tab w:val="left" w:pos="1843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2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  <w:r w:rsidRPr="00585921">
        <w:rPr>
          <w:rFonts w:ascii="Trebuchet MS" w:eastAsia="Times New Roman" w:hAnsi="Trebuchet MS" w:cs="Tahoma"/>
          <w:b/>
          <w:sz w:val="20"/>
          <w:szCs w:val="20"/>
          <w:lang w:eastAsia="pl-PL"/>
        </w:rPr>
        <w:t>Oczekiwane klauzule</w:t>
      </w:r>
    </w:p>
    <w:p w14:paraId="165C625F" w14:textId="77777777" w:rsidR="000C37F2" w:rsidRPr="00585921" w:rsidRDefault="000C37F2" w:rsidP="000C37F2">
      <w:pPr>
        <w:pStyle w:val="Akapitzlist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</w:p>
    <w:p w14:paraId="71369E4A" w14:textId="77777777" w:rsidR="000C37F2" w:rsidRPr="00585921" w:rsidRDefault="000C37F2" w:rsidP="000C37F2">
      <w:pPr>
        <w:pStyle w:val="Akapitzlist"/>
        <w:widowControl w:val="0"/>
        <w:numPr>
          <w:ilvl w:val="3"/>
          <w:numId w:val="7"/>
        </w:numPr>
        <w:tabs>
          <w:tab w:val="left" w:pos="1843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2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  <w:r w:rsidRPr="00585921">
        <w:rPr>
          <w:rFonts w:ascii="Trebuchet MS" w:eastAsia="Times New Roman" w:hAnsi="Trebuchet MS" w:cs="Tahoma"/>
          <w:b/>
          <w:sz w:val="20"/>
          <w:szCs w:val="20"/>
          <w:lang w:eastAsia="pl-PL"/>
        </w:rPr>
        <w:t xml:space="preserve">Klauzula rezygnacji z regresu </w:t>
      </w:r>
    </w:p>
    <w:p w14:paraId="57637D89" w14:textId="77777777" w:rsidR="000C37F2" w:rsidRPr="00585921" w:rsidRDefault="000C37F2" w:rsidP="000C37F2">
      <w:pPr>
        <w:tabs>
          <w:tab w:val="left" w:pos="709"/>
        </w:tabs>
        <w:spacing w:after="0"/>
        <w:ind w:left="567" w:hanging="567"/>
        <w:outlineLvl w:val="2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585921">
        <w:rPr>
          <w:rFonts w:ascii="Trebuchet MS" w:eastAsia="Times New Roman" w:hAnsi="Trebuchet MS" w:cs="Tahoma"/>
          <w:sz w:val="20"/>
          <w:szCs w:val="20"/>
          <w:lang w:eastAsia="pl-PL"/>
        </w:rPr>
        <w:tab/>
        <w:t xml:space="preserve">Z zastrzeżeniem pozostałych, nie zmienionych niniejszą klauzulą postanowień umowy ubezpieczenia oraz ogólnych warunków ubezpieczenia, uzgadnia się, że: Ubezpieczyciel rezygnuje z prawa do regresu z tytułu wypłaconego odszkodowania w stosunku do podmiotów powiązanych  z Ubezpieczającym (Zamawiającym) oraz w tym jego pracowników, chyba że szkodę wyrządzono umyślnie. </w:t>
      </w:r>
    </w:p>
    <w:p w14:paraId="1ED3C5F7" w14:textId="77777777" w:rsidR="000C37F2" w:rsidRPr="00585921" w:rsidRDefault="000C37F2" w:rsidP="000C37F2">
      <w:pPr>
        <w:tabs>
          <w:tab w:val="left" w:pos="709"/>
        </w:tabs>
        <w:spacing w:after="0"/>
        <w:ind w:left="567" w:hanging="567"/>
        <w:outlineLvl w:val="2"/>
        <w:rPr>
          <w:rFonts w:ascii="Trebuchet MS" w:eastAsia="Times New Roman" w:hAnsi="Trebuchet MS" w:cs="Tahoma"/>
          <w:sz w:val="20"/>
          <w:szCs w:val="20"/>
          <w:lang w:eastAsia="pl-PL"/>
        </w:rPr>
      </w:pPr>
    </w:p>
    <w:p w14:paraId="3D5E5C5D" w14:textId="77777777" w:rsidR="000C37F2" w:rsidRPr="00585921" w:rsidRDefault="000C37F2" w:rsidP="000C37F2">
      <w:pPr>
        <w:pStyle w:val="Akapitzlist"/>
        <w:widowControl w:val="0"/>
        <w:numPr>
          <w:ilvl w:val="3"/>
          <w:numId w:val="7"/>
        </w:numPr>
        <w:tabs>
          <w:tab w:val="num" w:pos="1701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2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  <w:r w:rsidRPr="00585921">
        <w:rPr>
          <w:rFonts w:ascii="Trebuchet MS" w:eastAsia="Times New Roman" w:hAnsi="Trebuchet MS" w:cs="Tahoma"/>
          <w:b/>
          <w:sz w:val="20"/>
          <w:szCs w:val="20"/>
          <w:lang w:eastAsia="pl-PL"/>
        </w:rPr>
        <w:t>Klauzula płatności składki lub rat składki</w:t>
      </w:r>
    </w:p>
    <w:p w14:paraId="680A2823" w14:textId="77777777" w:rsidR="000C37F2" w:rsidRPr="00585921" w:rsidRDefault="000C37F2" w:rsidP="000C37F2">
      <w:pPr>
        <w:spacing w:after="0"/>
        <w:ind w:left="567"/>
        <w:outlineLvl w:val="2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585921">
        <w:rPr>
          <w:rFonts w:ascii="Trebuchet MS" w:eastAsia="Times New Roman" w:hAnsi="Trebuchet MS" w:cs="Tahoma"/>
          <w:sz w:val="20"/>
          <w:szCs w:val="20"/>
          <w:lang w:eastAsia="pl-PL"/>
        </w:rPr>
        <w:t>Z zastrzeżeniem pozostałych, niezmienionych niniejszą klauzulą postanowień umowy ubezpieczenia oraz ogólnych warunków ubezpieczenia, uzgadnia się, że:</w:t>
      </w:r>
    </w:p>
    <w:p w14:paraId="68B2A413" w14:textId="77777777" w:rsidR="000C37F2" w:rsidRPr="00585921" w:rsidRDefault="000C37F2" w:rsidP="000C37F2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2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585921">
        <w:rPr>
          <w:rFonts w:ascii="Trebuchet MS" w:eastAsia="Times New Roman" w:hAnsi="Trebuchet MS" w:cs="Tahoma"/>
          <w:sz w:val="20"/>
          <w:szCs w:val="20"/>
          <w:lang w:eastAsia="pl-PL"/>
        </w:rPr>
        <w:t>Odpowiedzialność Ubezpieczyciela rozpoczyna się od godz. 00:00 dnia wskazanego w umowie jako początek okresu ubezpieczenia,</w:t>
      </w:r>
    </w:p>
    <w:p w14:paraId="284D532E" w14:textId="77777777" w:rsidR="000C37F2" w:rsidRPr="00585921" w:rsidRDefault="000C37F2" w:rsidP="000C37F2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2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585921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Brak opłaty składki ubezpieczeniowej lub raty składki w terminie jej płatności nie skutkuje odstąpieniem ubezpieczyciela od udzielania ochrony ubezpieczeniowej ze skutkiem natychmiastowym. Odstąpienie jest możliwe pod warunkiem pisemnego wezwania Ubezpieczającego przez Zakład Ubezpieczeń do zapłaty i nie otrzymania składki w terminie siedmiu dni o ile do dnia poprzedniego włącznie nie nastąpiło obciążenie rachunku bankowego ubezpieczającego.  </w:t>
      </w:r>
    </w:p>
    <w:p w14:paraId="397CE33A" w14:textId="77777777" w:rsidR="000C37F2" w:rsidRPr="00585921" w:rsidRDefault="000C37F2" w:rsidP="000C37F2">
      <w:pPr>
        <w:pStyle w:val="Akapitzlist"/>
        <w:widowControl w:val="0"/>
        <w:numPr>
          <w:ilvl w:val="3"/>
          <w:numId w:val="7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2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  <w:r w:rsidRPr="00585921">
        <w:rPr>
          <w:rFonts w:ascii="Trebuchet MS" w:eastAsia="Times New Roman" w:hAnsi="Trebuchet MS" w:cs="Tahoma"/>
          <w:b/>
          <w:sz w:val="20"/>
          <w:szCs w:val="20"/>
          <w:lang w:eastAsia="pl-PL"/>
        </w:rPr>
        <w:t>Klauzula okolicznościowa</w:t>
      </w:r>
    </w:p>
    <w:p w14:paraId="072607E8" w14:textId="77777777" w:rsidR="000C37F2" w:rsidRPr="00585921" w:rsidRDefault="000C37F2" w:rsidP="000C37F2">
      <w:pPr>
        <w:overflowPunct w:val="0"/>
        <w:autoSpaceDE w:val="0"/>
        <w:autoSpaceDN w:val="0"/>
        <w:adjustRightInd w:val="0"/>
        <w:spacing w:after="0"/>
        <w:ind w:left="567"/>
        <w:outlineLvl w:val="2"/>
        <w:rPr>
          <w:rFonts w:ascii="Trebuchet MS" w:eastAsia="Times New Roman" w:hAnsi="Trebuchet MS" w:cs="Tahoma"/>
          <w:sz w:val="20"/>
          <w:szCs w:val="20"/>
          <w:lang w:eastAsia="x-none"/>
        </w:rPr>
      </w:pPr>
      <w:r w:rsidRPr="00585921">
        <w:rPr>
          <w:rFonts w:ascii="Trebuchet MS" w:eastAsia="Times New Roman" w:hAnsi="Trebuchet MS" w:cs="Tahoma"/>
          <w:sz w:val="20"/>
          <w:szCs w:val="20"/>
          <w:lang w:val="x-none" w:eastAsia="x-none"/>
        </w:rPr>
        <w:t>Ubezpieczyciel jest zobowiązany do ustalenia i wyjaśnienia okoliczności szkody i wypłacić należne odszkodowanie, zgodnie z ogólnie przyjętymi zasadami, bez konieczności</w:t>
      </w:r>
      <w:r w:rsidRPr="00585921">
        <w:rPr>
          <w:rFonts w:ascii="Trebuchet MS" w:eastAsia="Times New Roman" w:hAnsi="Trebuchet MS" w:cs="Tahoma"/>
          <w:sz w:val="20"/>
          <w:szCs w:val="20"/>
          <w:lang w:eastAsia="x-none"/>
        </w:rPr>
        <w:t xml:space="preserve"> </w:t>
      </w:r>
      <w:r w:rsidRPr="00585921">
        <w:rPr>
          <w:rFonts w:ascii="Trebuchet MS" w:eastAsia="Times New Roman" w:hAnsi="Trebuchet MS" w:cs="Tahoma"/>
          <w:sz w:val="20"/>
          <w:szCs w:val="20"/>
          <w:lang w:val="x-none" w:eastAsia="x-none"/>
        </w:rPr>
        <w:t>oczekiwania na prawomocne postanowienie kończące postępowanie w sprawie dotyczącej szkody</w:t>
      </w:r>
      <w:r w:rsidRPr="00585921">
        <w:rPr>
          <w:rFonts w:ascii="Trebuchet MS" w:eastAsia="Times New Roman" w:hAnsi="Trebuchet MS" w:cs="Tahoma"/>
          <w:sz w:val="20"/>
          <w:szCs w:val="20"/>
          <w:lang w:eastAsia="x-none"/>
        </w:rPr>
        <w:t>.</w:t>
      </w:r>
      <w:r w:rsidRPr="00585921">
        <w:rPr>
          <w:rFonts w:ascii="Trebuchet MS" w:eastAsia="Times New Roman" w:hAnsi="Trebuchet MS" w:cs="Tahoma"/>
          <w:sz w:val="20"/>
          <w:szCs w:val="20"/>
          <w:lang w:val="x-none" w:eastAsia="x-none"/>
        </w:rPr>
        <w:t xml:space="preserve"> </w:t>
      </w:r>
    </w:p>
    <w:p w14:paraId="590A0EF8" w14:textId="77777777" w:rsidR="000C37F2" w:rsidRPr="00585921" w:rsidRDefault="000C37F2" w:rsidP="000C37F2">
      <w:pPr>
        <w:pStyle w:val="Default"/>
        <w:spacing w:line="276" w:lineRule="auto"/>
        <w:ind w:left="567" w:hanging="567"/>
        <w:rPr>
          <w:rFonts w:ascii="Trebuchet MS" w:hAnsi="Trebuchet MS"/>
          <w:color w:val="auto"/>
          <w:sz w:val="20"/>
          <w:szCs w:val="20"/>
        </w:rPr>
      </w:pPr>
    </w:p>
    <w:p w14:paraId="71ED2911" w14:textId="77777777" w:rsidR="000C37F2" w:rsidRPr="00585921" w:rsidRDefault="000C37F2" w:rsidP="000C37F2">
      <w:pPr>
        <w:pStyle w:val="Default"/>
        <w:numPr>
          <w:ilvl w:val="2"/>
          <w:numId w:val="2"/>
        </w:numPr>
        <w:spacing w:line="276" w:lineRule="auto"/>
        <w:ind w:left="567" w:hanging="567"/>
        <w:rPr>
          <w:rFonts w:ascii="Trebuchet MS" w:hAnsi="Trebuchet MS"/>
          <w:b/>
          <w:color w:val="auto"/>
          <w:sz w:val="20"/>
          <w:szCs w:val="20"/>
        </w:rPr>
      </w:pPr>
      <w:r w:rsidRPr="00585921">
        <w:rPr>
          <w:rFonts w:ascii="Trebuchet MS" w:hAnsi="Trebuchet MS"/>
          <w:b/>
          <w:color w:val="auto"/>
          <w:sz w:val="20"/>
          <w:szCs w:val="20"/>
        </w:rPr>
        <w:lastRenderedPageBreak/>
        <w:t>Pozostałe postanowienia:</w:t>
      </w:r>
    </w:p>
    <w:p w14:paraId="324D5D60" w14:textId="77777777" w:rsidR="000C37F2" w:rsidRPr="00585921" w:rsidRDefault="000C37F2" w:rsidP="00585921">
      <w:pPr>
        <w:pStyle w:val="Default"/>
        <w:numPr>
          <w:ilvl w:val="0"/>
          <w:numId w:val="11"/>
        </w:numPr>
        <w:spacing w:after="13" w:line="276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Wykonawca wystawi polisę główną określającej wysokość składki bazowej zgodną ze złożoną ofertą.</w:t>
      </w:r>
    </w:p>
    <w:p w14:paraId="5D03EA70" w14:textId="1BB99C60" w:rsidR="000C37F2" w:rsidRPr="00585921" w:rsidRDefault="000C37F2" w:rsidP="00585921">
      <w:pPr>
        <w:pStyle w:val="Default"/>
        <w:numPr>
          <w:ilvl w:val="0"/>
          <w:numId w:val="11"/>
        </w:numPr>
        <w:spacing w:after="13" w:line="276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Ogólne warunki ubezpieczenia Wykonawcy mogą mieć zastosowanie o</w:t>
      </w:r>
      <w:r w:rsidR="00557CFD" w:rsidRPr="00585921">
        <w:rPr>
          <w:rFonts w:ascii="Trebuchet MS" w:hAnsi="Trebuchet MS"/>
          <w:color w:val="auto"/>
          <w:sz w:val="20"/>
          <w:szCs w:val="20"/>
        </w:rPr>
        <w:t xml:space="preserve"> ile nie </w:t>
      </w:r>
      <w:r w:rsidR="00C43BB3" w:rsidRPr="00585921">
        <w:rPr>
          <w:rFonts w:ascii="Trebuchet MS" w:hAnsi="Trebuchet MS"/>
          <w:color w:val="auto"/>
          <w:sz w:val="20"/>
          <w:szCs w:val="20"/>
        </w:rPr>
        <w:t>zawężają zapisów</w:t>
      </w:r>
      <w:r w:rsidR="00557CFD" w:rsidRPr="00585921">
        <w:rPr>
          <w:rFonts w:ascii="Trebuchet MS" w:hAnsi="Trebuchet MS"/>
          <w:color w:val="auto"/>
          <w:sz w:val="20"/>
          <w:szCs w:val="20"/>
        </w:rPr>
        <w:t xml:space="preserve"> </w:t>
      </w:r>
      <w:r w:rsidRPr="00585921">
        <w:rPr>
          <w:rFonts w:ascii="Trebuchet MS" w:hAnsi="Trebuchet MS"/>
          <w:color w:val="auto"/>
          <w:sz w:val="20"/>
          <w:szCs w:val="20"/>
        </w:rPr>
        <w:t>Szczegółow</w:t>
      </w:r>
      <w:r w:rsidR="00C43BB3" w:rsidRPr="00585921">
        <w:rPr>
          <w:rFonts w:ascii="Trebuchet MS" w:hAnsi="Trebuchet MS"/>
          <w:color w:val="auto"/>
          <w:sz w:val="20"/>
          <w:szCs w:val="20"/>
        </w:rPr>
        <w:t>ego</w:t>
      </w:r>
      <w:r w:rsidRPr="00585921">
        <w:rPr>
          <w:rFonts w:ascii="Trebuchet MS" w:hAnsi="Trebuchet MS"/>
          <w:color w:val="auto"/>
          <w:sz w:val="20"/>
          <w:szCs w:val="20"/>
        </w:rPr>
        <w:t xml:space="preserve"> opis</w:t>
      </w:r>
      <w:r w:rsidR="00C43BB3" w:rsidRPr="00585921">
        <w:rPr>
          <w:rFonts w:ascii="Trebuchet MS" w:hAnsi="Trebuchet MS"/>
          <w:color w:val="auto"/>
          <w:sz w:val="20"/>
          <w:szCs w:val="20"/>
        </w:rPr>
        <w:t>u</w:t>
      </w:r>
      <w:r w:rsidRPr="00585921">
        <w:rPr>
          <w:rFonts w:ascii="Trebuchet MS" w:hAnsi="Trebuchet MS"/>
          <w:color w:val="auto"/>
          <w:sz w:val="20"/>
          <w:szCs w:val="20"/>
        </w:rPr>
        <w:t xml:space="preserve"> przedmiotu zamówienia.</w:t>
      </w:r>
    </w:p>
    <w:p w14:paraId="7A45BE39" w14:textId="77777777" w:rsidR="000C37F2" w:rsidRPr="00585921" w:rsidRDefault="000C37F2" w:rsidP="00585921">
      <w:pPr>
        <w:pStyle w:val="Default"/>
        <w:numPr>
          <w:ilvl w:val="0"/>
          <w:numId w:val="11"/>
        </w:numPr>
        <w:spacing w:after="13" w:line="276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 xml:space="preserve">Załącznikami do polisy będą zgłaszane każdorazowo wyjazdy, określające przynajmniej:  informacją o destynacji, danych Ubezpieczonego oraz wartości poszczególnych przedmiotów ubezpieczenia. Informacje o których mowa powyżej będą przekazywane najpóźniej na dzień przed wyjazdem drogą elektroniczną na wskazany przez Wykonawcę adres e-mail. </w:t>
      </w:r>
    </w:p>
    <w:p w14:paraId="609F945B" w14:textId="77777777" w:rsidR="000C37F2" w:rsidRPr="00585921" w:rsidRDefault="000C37F2" w:rsidP="00585921">
      <w:pPr>
        <w:pStyle w:val="Default"/>
        <w:numPr>
          <w:ilvl w:val="0"/>
          <w:numId w:val="11"/>
        </w:numPr>
        <w:spacing w:after="13" w:line="276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Łączna wartość ubezpieczanych dzieł może wzrosnąć w stosunku do deklarowanej wartości maksymalnie o 20%. W takiej sytuacji, Wykonawca deklaruje udzielenie automatycznej ochrony w związku ze wzrostem wartości ubezpieczanego mienia, przy założeniu, że składka dodatkowa zostanie obliczona na zasadach opisanych w umowie ubezpieczenia.</w:t>
      </w:r>
    </w:p>
    <w:p w14:paraId="650B4671" w14:textId="78FEF972" w:rsidR="000C37F2" w:rsidRPr="00585921" w:rsidRDefault="000C37F2" w:rsidP="00585921">
      <w:pPr>
        <w:pStyle w:val="Default"/>
        <w:numPr>
          <w:ilvl w:val="0"/>
          <w:numId w:val="11"/>
        </w:numPr>
        <w:spacing w:after="13" w:line="276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Na potrzeby szacowania składki dodatkowej w odniesieniu do przedmiotów ubezpieczenia, których suma ubezpieczenia została ustalona w walucie obcej,</w:t>
      </w:r>
      <w:r w:rsidR="007646B1">
        <w:rPr>
          <w:rFonts w:ascii="Trebuchet MS" w:hAnsi="Trebuchet MS"/>
          <w:color w:val="auto"/>
          <w:sz w:val="20"/>
          <w:szCs w:val="20"/>
        </w:rPr>
        <w:t xml:space="preserve"> </w:t>
      </w:r>
      <w:r w:rsidRPr="00585921">
        <w:rPr>
          <w:rFonts w:ascii="Trebuchet MS" w:hAnsi="Trebuchet MS"/>
          <w:color w:val="auto"/>
          <w:sz w:val="20"/>
          <w:szCs w:val="20"/>
        </w:rPr>
        <w:t xml:space="preserve">ustala się, że rozliczenie odbędzie się przy zastosowaniu kursu średniego walut obcych ogłaszanego przez Narodowy Bank Polski obowiązującego w dniu dokonania rozliczenia, z zastrzeżeniem, że w tym samym dniu zostanie przygotowany aneks do polisy i umowy ubezpieczenia.  </w:t>
      </w:r>
    </w:p>
    <w:p w14:paraId="7C9A3FA7" w14:textId="77777777" w:rsidR="000C37F2" w:rsidRPr="00585921" w:rsidRDefault="000C37F2" w:rsidP="00585921">
      <w:pPr>
        <w:pStyle w:val="Default"/>
        <w:numPr>
          <w:ilvl w:val="0"/>
          <w:numId w:val="11"/>
        </w:numPr>
        <w:spacing w:after="13" w:line="276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Płatność składki zostanie wykonana na konto Wykonawcy w terminie:</w:t>
      </w:r>
    </w:p>
    <w:p w14:paraId="4488EB5E" w14:textId="77777777" w:rsidR="000C37F2" w:rsidRPr="00585921" w:rsidRDefault="000C37F2" w:rsidP="00585921">
      <w:pPr>
        <w:pStyle w:val="Default"/>
        <w:numPr>
          <w:ilvl w:val="1"/>
          <w:numId w:val="11"/>
        </w:numPr>
        <w:spacing w:after="13" w:line="276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W odniesieniu do składki bazowej (wynikającej z głównej polisy) – 7 dni od daty wystawienia polisy</w:t>
      </w:r>
    </w:p>
    <w:p w14:paraId="53BA5F2C" w14:textId="77777777" w:rsidR="000C37F2" w:rsidRPr="00585921" w:rsidRDefault="000C37F2" w:rsidP="00585921">
      <w:pPr>
        <w:pStyle w:val="Default"/>
        <w:numPr>
          <w:ilvl w:val="1"/>
          <w:numId w:val="11"/>
        </w:numPr>
        <w:spacing w:after="13" w:line="276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 xml:space="preserve">W odniesieniu do składki dodatkowej – 14 dni od daty wystawienia aneksu do polisy. </w:t>
      </w:r>
    </w:p>
    <w:p w14:paraId="0A99B2E8" w14:textId="3AB0D2D6" w:rsidR="000C37F2" w:rsidRPr="00585921" w:rsidRDefault="000C37F2" w:rsidP="00585921">
      <w:pPr>
        <w:pStyle w:val="Default"/>
        <w:numPr>
          <w:ilvl w:val="0"/>
          <w:numId w:val="11"/>
        </w:numPr>
        <w:spacing w:after="13" w:line="276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 xml:space="preserve">W związku z realizacją </w:t>
      </w:r>
      <w:proofErr w:type="spellStart"/>
      <w:r w:rsidRPr="00585921">
        <w:rPr>
          <w:rFonts w:ascii="Trebuchet MS" w:hAnsi="Trebuchet MS"/>
          <w:color w:val="auto"/>
          <w:sz w:val="20"/>
          <w:szCs w:val="20"/>
        </w:rPr>
        <w:t>retransportów</w:t>
      </w:r>
      <w:proofErr w:type="spellEnd"/>
      <w:r w:rsidRPr="00585921">
        <w:rPr>
          <w:rFonts w:ascii="Trebuchet MS" w:hAnsi="Trebuchet MS"/>
          <w:color w:val="auto"/>
          <w:sz w:val="20"/>
          <w:szCs w:val="20"/>
        </w:rPr>
        <w:t xml:space="preserve"> i ewentualnymi zmianami w harmonogramie odwozów obiektów, okres ubezpieczenia może ulec wydłużeniu.</w:t>
      </w:r>
    </w:p>
    <w:p w14:paraId="45711A57" w14:textId="77777777" w:rsidR="000C37F2" w:rsidRPr="00585921" w:rsidRDefault="000C37F2" w:rsidP="00585921">
      <w:pPr>
        <w:pStyle w:val="Default"/>
        <w:numPr>
          <w:ilvl w:val="0"/>
          <w:numId w:val="11"/>
        </w:numPr>
        <w:spacing w:after="13" w:line="276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 xml:space="preserve">W razie szkody noszącej znamiona przestępstwa Ubezpieczający zobowiązuje się niezwłocznie powiadomić Policję, nie później niż w terminie 12h od momentu powzięcia informacji o zdarzeniu. </w:t>
      </w:r>
    </w:p>
    <w:p w14:paraId="1F0C4DF4" w14:textId="205559C3" w:rsidR="000C37F2" w:rsidRPr="00585921" w:rsidRDefault="000C37F2" w:rsidP="00585921">
      <w:pPr>
        <w:pStyle w:val="Default"/>
        <w:numPr>
          <w:ilvl w:val="0"/>
          <w:numId w:val="11"/>
        </w:numPr>
        <w:spacing w:after="13" w:line="276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585921">
        <w:rPr>
          <w:rFonts w:ascii="Trebuchet MS" w:hAnsi="Trebuchet MS"/>
          <w:color w:val="auto"/>
          <w:sz w:val="20"/>
          <w:szCs w:val="20"/>
        </w:rPr>
        <w:t>Przekazane informacje o przedmiocie ubezpieczenia i transportach są aktualne na dzień ogłoszenia postępowania, jednak zgodnie z</w:t>
      </w:r>
      <w:r w:rsidR="00FF4A4B">
        <w:rPr>
          <w:rFonts w:ascii="Trebuchet MS" w:hAnsi="Trebuchet MS"/>
          <w:color w:val="auto"/>
          <w:sz w:val="20"/>
          <w:szCs w:val="20"/>
        </w:rPr>
        <w:t xml:space="preserve"> postanowieniami pkt. VI ust. 4 mogą ulec zmianie.</w:t>
      </w:r>
    </w:p>
    <w:p w14:paraId="36175505" w14:textId="77777777" w:rsidR="000C37F2" w:rsidRPr="00585921" w:rsidRDefault="000C37F2" w:rsidP="000C37F2">
      <w:pPr>
        <w:pStyle w:val="Default"/>
        <w:spacing w:line="276" w:lineRule="auto"/>
        <w:rPr>
          <w:rFonts w:ascii="Trebuchet MS" w:hAnsi="Trebuchet MS"/>
          <w:color w:val="auto"/>
          <w:sz w:val="20"/>
          <w:szCs w:val="20"/>
        </w:rPr>
      </w:pPr>
    </w:p>
    <w:sectPr w:rsidR="000C37F2" w:rsidRPr="00585921" w:rsidSect="00643E7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01F68F" w14:textId="77777777" w:rsidR="007856FF" w:rsidRDefault="007856FF" w:rsidP="00557CFD">
      <w:pPr>
        <w:spacing w:after="0" w:line="240" w:lineRule="auto"/>
      </w:pPr>
      <w:r>
        <w:separator/>
      </w:r>
    </w:p>
  </w:endnote>
  <w:endnote w:type="continuationSeparator" w:id="0">
    <w:p w14:paraId="48791ABC" w14:textId="77777777" w:rsidR="007856FF" w:rsidRDefault="007856FF" w:rsidP="00557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8131689"/>
      <w:docPartObj>
        <w:docPartGallery w:val="Page Numbers (Bottom of Page)"/>
        <w:docPartUnique/>
      </w:docPartObj>
    </w:sdtPr>
    <w:sdtEndPr/>
    <w:sdtContent>
      <w:p w14:paraId="0DEB8BB0" w14:textId="77777777" w:rsidR="008B0645" w:rsidRDefault="008E43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0E48">
          <w:rPr>
            <w:noProof/>
          </w:rPr>
          <w:t>4</w:t>
        </w:r>
        <w:r>
          <w:fldChar w:fldCharType="end"/>
        </w:r>
      </w:p>
    </w:sdtContent>
  </w:sdt>
  <w:p w14:paraId="205A8AD9" w14:textId="77777777" w:rsidR="008B0645" w:rsidRDefault="007856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9179E5" w14:textId="77777777" w:rsidR="007856FF" w:rsidRDefault="007856FF" w:rsidP="00557CFD">
      <w:pPr>
        <w:spacing w:after="0" w:line="240" w:lineRule="auto"/>
      </w:pPr>
      <w:r>
        <w:separator/>
      </w:r>
    </w:p>
  </w:footnote>
  <w:footnote w:type="continuationSeparator" w:id="0">
    <w:p w14:paraId="7ED4E7F0" w14:textId="77777777" w:rsidR="007856FF" w:rsidRDefault="007856FF" w:rsidP="00557C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E5C25"/>
    <w:multiLevelType w:val="hybridMultilevel"/>
    <w:tmpl w:val="54861B28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CA46A8E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576E9"/>
    <w:multiLevelType w:val="hybridMultilevel"/>
    <w:tmpl w:val="BEB6E00A"/>
    <w:lvl w:ilvl="0" w:tplc="4118AF06">
      <w:start w:val="1"/>
      <w:numFmt w:val="decimal"/>
      <w:lvlText w:val="B%1."/>
      <w:lvlJc w:val="left"/>
      <w:pPr>
        <w:ind w:left="720" w:hanging="360"/>
      </w:pPr>
      <w:rPr>
        <w:rFonts w:ascii="Arial Narrow" w:hAnsi="Arial Narrow" w:cs="Arial" w:hint="default"/>
        <w:b w:val="0"/>
        <w:i w:val="0"/>
        <w:strike w:val="0"/>
        <w:dstrike w:val="0"/>
        <w:color w:val="auto"/>
        <w:sz w:val="21"/>
        <w:szCs w:val="21"/>
      </w:rPr>
    </w:lvl>
    <w:lvl w:ilvl="1" w:tplc="5A96968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B4A2B28">
      <w:start w:val="1"/>
      <w:numFmt w:val="upperRoman"/>
      <w:lvlText w:val="%3."/>
      <w:lvlJc w:val="left"/>
      <w:pPr>
        <w:ind w:left="2520" w:hanging="720"/>
      </w:pPr>
      <w:rPr>
        <w:rFonts w:hint="default"/>
        <w:b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1A3F38">
      <w:start w:val="2"/>
      <w:numFmt w:val="upperLetter"/>
      <w:lvlText w:val="%5)"/>
      <w:lvlJc w:val="left"/>
      <w:pPr>
        <w:ind w:left="3600" w:hanging="360"/>
      </w:pPr>
      <w:rPr>
        <w:rFonts w:cs="Times New Roman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687783"/>
    <w:multiLevelType w:val="hybridMultilevel"/>
    <w:tmpl w:val="E7C88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755D5"/>
    <w:multiLevelType w:val="hybridMultilevel"/>
    <w:tmpl w:val="28E8CD62"/>
    <w:lvl w:ilvl="0" w:tplc="6A5474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CA46A8E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EC2CAB"/>
    <w:multiLevelType w:val="hybridMultilevel"/>
    <w:tmpl w:val="964A38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CA46A8E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D786E"/>
    <w:multiLevelType w:val="hybridMultilevel"/>
    <w:tmpl w:val="BDFCEE72"/>
    <w:lvl w:ilvl="0" w:tplc="30E41CB8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08098A"/>
    <w:multiLevelType w:val="hybridMultilevel"/>
    <w:tmpl w:val="47922E02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8E09E0"/>
    <w:multiLevelType w:val="hybridMultilevel"/>
    <w:tmpl w:val="F7287398"/>
    <w:lvl w:ilvl="0" w:tplc="EDA689B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sz w:val="22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799A4B1F"/>
    <w:multiLevelType w:val="hybridMultilevel"/>
    <w:tmpl w:val="0D4C9452"/>
    <w:lvl w:ilvl="0" w:tplc="7BD2B9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EB1E6D"/>
    <w:multiLevelType w:val="hybridMultilevel"/>
    <w:tmpl w:val="86446D7E"/>
    <w:lvl w:ilvl="0" w:tplc="D4623B6C">
      <w:start w:val="1"/>
      <w:numFmt w:val="decimal"/>
      <w:lvlText w:val="%1."/>
      <w:lvlJc w:val="left"/>
      <w:pPr>
        <w:ind w:left="2340" w:hanging="360"/>
      </w:pPr>
      <w:rPr>
        <w:rFonts w:ascii="Arial Narrow" w:hAnsi="Arial Narrow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0" w15:restartNumberingAfterBreak="0">
    <w:nsid w:val="7D364712"/>
    <w:multiLevelType w:val="hybridMultilevel"/>
    <w:tmpl w:val="898C5578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CA46A8E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4"/>
  </w:num>
  <w:num w:numId="9">
    <w:abstractNumId w:val="7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A2F"/>
    <w:rsid w:val="0006743C"/>
    <w:rsid w:val="000C3076"/>
    <w:rsid w:val="000C37F2"/>
    <w:rsid w:val="00121BD5"/>
    <w:rsid w:val="002A0E48"/>
    <w:rsid w:val="002B2511"/>
    <w:rsid w:val="00557CFD"/>
    <w:rsid w:val="00585921"/>
    <w:rsid w:val="0070500A"/>
    <w:rsid w:val="007373B1"/>
    <w:rsid w:val="007646B1"/>
    <w:rsid w:val="007856FF"/>
    <w:rsid w:val="00890310"/>
    <w:rsid w:val="008A5622"/>
    <w:rsid w:val="008E4340"/>
    <w:rsid w:val="00AC4569"/>
    <w:rsid w:val="00C43BB3"/>
    <w:rsid w:val="00CE2A2F"/>
    <w:rsid w:val="00DC2BE5"/>
    <w:rsid w:val="00E570C4"/>
    <w:rsid w:val="00E94F56"/>
    <w:rsid w:val="00EB4A8C"/>
    <w:rsid w:val="00FF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14975"/>
  <w15:chartTrackingRefBased/>
  <w15:docId w15:val="{07DA2187-0341-466A-999B-4310AECCB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37F2"/>
    <w:pPr>
      <w:spacing w:after="200" w:line="276" w:lineRule="auto"/>
      <w:jc w:val="both"/>
    </w:pPr>
    <w:rPr>
      <w:rFonts w:ascii="Tahoma" w:hAnsi="Tahoma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37F2"/>
    <w:pPr>
      <w:ind w:left="720"/>
      <w:contextualSpacing/>
    </w:pPr>
  </w:style>
  <w:style w:type="table" w:styleId="Tabela-Siatka">
    <w:name w:val="Table Grid"/>
    <w:basedOn w:val="Standardowy"/>
    <w:uiPriority w:val="39"/>
    <w:rsid w:val="000C3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locked/>
    <w:rsid w:val="000C37F2"/>
    <w:rPr>
      <w:rFonts w:ascii="Tahoma" w:hAnsi="Tahoma"/>
      <w:sz w:val="21"/>
    </w:rPr>
  </w:style>
  <w:style w:type="paragraph" w:styleId="Nagwek">
    <w:name w:val="header"/>
    <w:basedOn w:val="Normalny"/>
    <w:link w:val="NagwekZnak"/>
    <w:unhideWhenUsed/>
    <w:rsid w:val="000C3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C37F2"/>
    <w:rPr>
      <w:rFonts w:ascii="Tahoma" w:hAnsi="Tahoma"/>
      <w:sz w:val="21"/>
    </w:rPr>
  </w:style>
  <w:style w:type="paragraph" w:styleId="Stopka">
    <w:name w:val="footer"/>
    <w:aliases w:val="Stopka Znak1,Stopka Znak Znak,Znak"/>
    <w:basedOn w:val="Normalny"/>
    <w:link w:val="StopkaZnak"/>
    <w:uiPriority w:val="99"/>
    <w:unhideWhenUsed/>
    <w:rsid w:val="000C3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Stopka Znak1 Znak,Stopka Znak Znak Znak,Znak Znak"/>
    <w:basedOn w:val="Domylnaczcionkaakapitu"/>
    <w:link w:val="Stopka"/>
    <w:uiPriority w:val="99"/>
    <w:rsid w:val="000C37F2"/>
    <w:rPr>
      <w:rFonts w:ascii="Tahoma" w:hAnsi="Tahoma"/>
      <w:sz w:val="21"/>
    </w:rPr>
  </w:style>
  <w:style w:type="paragraph" w:styleId="Tekstkomentarza">
    <w:name w:val="annotation text"/>
    <w:basedOn w:val="Normalny"/>
    <w:link w:val="TekstkomentarzaZnak"/>
    <w:rsid w:val="000C37F2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C37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0C37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37F2"/>
    <w:rPr>
      <w:sz w:val="16"/>
      <w:szCs w:val="16"/>
    </w:rPr>
  </w:style>
  <w:style w:type="paragraph" w:styleId="Poprawka">
    <w:name w:val="Revision"/>
    <w:hidden/>
    <w:uiPriority w:val="99"/>
    <w:semiHidden/>
    <w:rsid w:val="00557CFD"/>
    <w:pPr>
      <w:spacing w:after="0" w:line="240" w:lineRule="auto"/>
    </w:pPr>
    <w:rPr>
      <w:rFonts w:ascii="Tahoma" w:hAnsi="Tahoma"/>
      <w:sz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C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05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1680</Words>
  <Characters>10083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Maksis</dc:creator>
  <cp:keywords/>
  <dc:description/>
  <cp:lastModifiedBy>Aleksandra Maksis</cp:lastModifiedBy>
  <cp:revision>6</cp:revision>
  <dcterms:created xsi:type="dcterms:W3CDTF">2018-05-15T11:49:00Z</dcterms:created>
  <dcterms:modified xsi:type="dcterms:W3CDTF">2018-05-15T18:24:00Z</dcterms:modified>
</cp:coreProperties>
</file>