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ACC" w:rsidRPr="00515B14" w:rsidRDefault="0095018A" w:rsidP="00BD2ACC">
      <w:pPr>
        <w:pBdr>
          <w:bottom w:val="single" w:sz="4" w:space="1" w:color="auto"/>
        </w:pBd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outlineLvl w:val="2"/>
        <w:rPr>
          <w:rFonts w:ascii="Trebuchet MS" w:eastAsia="Times New Roman" w:hAnsi="Trebuchet MS" w:cs="Tahoma"/>
          <w:i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Załącznik nr 9</w:t>
      </w:r>
      <w:r w:rsidRPr="00515B14">
        <w:rPr>
          <w:rFonts w:ascii="Trebuchet MS" w:eastAsia="Times New Roman" w:hAnsi="Trebuchet MS" w:cs="Tahoma"/>
          <w:i/>
          <w:sz w:val="20"/>
          <w:szCs w:val="20"/>
          <w:lang w:eastAsia="pl-PL"/>
        </w:rPr>
        <w:t xml:space="preserve"> „</w:t>
      </w:r>
      <w:r w:rsidR="00BD2ACC" w:rsidRPr="00515B14">
        <w:rPr>
          <w:rFonts w:ascii="Trebuchet MS" w:eastAsia="Times New Roman" w:hAnsi="Trebuchet MS" w:cs="Tahoma"/>
          <w:i/>
          <w:sz w:val="20"/>
          <w:szCs w:val="20"/>
          <w:lang w:eastAsia="pl-PL"/>
        </w:rPr>
        <w:t>Informacja o ryzyku</w:t>
      </w:r>
      <w:r w:rsidRPr="00515B14">
        <w:rPr>
          <w:rFonts w:ascii="Trebuchet MS" w:eastAsia="Times New Roman" w:hAnsi="Trebuchet MS" w:cs="Tahoma"/>
          <w:i/>
          <w:sz w:val="20"/>
          <w:szCs w:val="20"/>
          <w:lang w:eastAsia="pl-PL"/>
        </w:rPr>
        <w:t>”</w:t>
      </w:r>
    </w:p>
    <w:p w:rsidR="00BD2ACC" w:rsidRPr="00515B14" w:rsidRDefault="00BD2ACC" w:rsidP="00BD2ACC">
      <w:pPr>
        <w:overflowPunct w:val="0"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BD2ACC" w:rsidRPr="00515B14" w:rsidRDefault="00BD2ACC" w:rsidP="00BD2ACC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b/>
          <w:sz w:val="20"/>
          <w:szCs w:val="20"/>
          <w:lang w:eastAsia="pl-PL"/>
        </w:rPr>
        <w:t>Ubezpieczający/Ubezpieczony</w:t>
      </w:r>
    </w:p>
    <w:p w:rsidR="00BD2ACC" w:rsidRPr="00515B14" w:rsidRDefault="00BD2ACC" w:rsidP="00BD2ACC">
      <w:pPr>
        <w:pStyle w:val="Akapitzlist"/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BD2ACC" w:rsidRPr="00515B14" w:rsidRDefault="00BD2ACC" w:rsidP="00BD2ACC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Ubezpieczający</w:t>
      </w:r>
      <w:r w:rsidRPr="00515B14">
        <w:rPr>
          <w:rFonts w:ascii="Trebuchet MS" w:eastAsia="Times New Roman" w:hAnsi="Trebuchet MS" w:cs="Tahoma"/>
          <w:b/>
          <w:sz w:val="20"/>
          <w:szCs w:val="20"/>
          <w:lang w:eastAsia="pl-PL"/>
        </w:rPr>
        <w:t>: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Muzeum Śląskie w Katowicach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Adres : </w:t>
      </w:r>
      <w:r w:rsidRPr="00515B14">
        <w:rPr>
          <w:rFonts w:ascii="Trebuchet MS" w:hAnsi="Trebuchet MS"/>
          <w:sz w:val="20"/>
          <w:szCs w:val="20"/>
        </w:rPr>
        <w:tab/>
        <w:t xml:space="preserve">ul. T. Dobrowolskiego 1, 40-205 Katowice, Śląskie 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NIP: 634-23-11-686; Regon: 001094121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</w:p>
    <w:p w:rsidR="00BD2ACC" w:rsidRPr="00515B14" w:rsidRDefault="00BD2ACC" w:rsidP="00BD2ACC">
      <w:pPr>
        <w:pStyle w:val="Akapitzlist"/>
        <w:numPr>
          <w:ilvl w:val="0"/>
          <w:numId w:val="4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Ubezpieczeni: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Właściciele obiektów/dzieł.</w:t>
      </w:r>
    </w:p>
    <w:p w:rsidR="00BD2ACC" w:rsidRPr="00515B14" w:rsidRDefault="00BD2ACC" w:rsidP="00BD2ACC">
      <w:pPr>
        <w:pStyle w:val="Akapitzlist"/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BD2ACC" w:rsidRPr="00515B14" w:rsidRDefault="00BD2ACC" w:rsidP="00BD2ACC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b/>
          <w:sz w:val="20"/>
          <w:szCs w:val="20"/>
          <w:lang w:eastAsia="pl-PL"/>
        </w:rPr>
        <w:t>Mienie stanowiące przedmiot ubezpieczenia będzie zabezpieczone zgodnie z:</w:t>
      </w:r>
    </w:p>
    <w:p w:rsidR="00BD2ACC" w:rsidRPr="00515B14" w:rsidRDefault="00BD2ACC" w:rsidP="00BD2ACC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 Rozporządzeniem Ministra Kultury i Dziedzictwa Narodowego z dnia 2 września 2014 r. w sprawie zabezpieczenia zbiorów muzeum przed pożarem, kradzieżą i innym niebezpieczeństwem grożącym ich zniszczeniem lub utratą (DZ. U. z d 2014 poz. 1240).</w:t>
      </w:r>
    </w:p>
    <w:p w:rsidR="00BD2ACC" w:rsidRPr="00515B14" w:rsidRDefault="00BD2ACC" w:rsidP="00BD2ACC">
      <w:pPr>
        <w:pStyle w:val="Tekstpodstawowy21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Rozporządzenie Ministra Kultury i Dziedzictwa Narodowego z dnia 15 maja 2008 r. w sprawie warunków, sposobu i trybu przenoszenia muzealiów (Dz.U. 2008 nr 91 poz. 569);</w:t>
      </w:r>
    </w:p>
    <w:p w:rsidR="00BD2ACC" w:rsidRPr="00515B14" w:rsidRDefault="00BD2ACC" w:rsidP="00BD2ACC">
      <w:pPr>
        <w:pStyle w:val="Tekstpodstawowy21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Art. 29 ust. 2 ustawy z dnia 21 listopada 1996 r. o muzeach (Dz. U. z 1997 Nr 5, poz. 24 z </w:t>
      </w:r>
      <w:proofErr w:type="spellStart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późn</w:t>
      </w:r>
      <w:proofErr w:type="spellEnd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. zm.). </w:t>
      </w:r>
    </w:p>
    <w:p w:rsidR="00BD2ACC" w:rsidRPr="00515B14" w:rsidRDefault="00BD2ACC" w:rsidP="00BD2ACC">
      <w:pPr>
        <w:pStyle w:val="Tekstpodstawowy21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Ustawa z dnia 6 września 2001 r. o transporcie drogowym (tekst jednolity Dz. U. z 2007 nr 125 poz. 874, z późniejszymi zmianami)</w:t>
      </w:r>
    </w:p>
    <w:p w:rsidR="00BD2ACC" w:rsidRPr="00515B14" w:rsidRDefault="00BD2ACC" w:rsidP="00BD2ACC">
      <w:pPr>
        <w:pStyle w:val="Tekstpodstawowy21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Konwencja o umowie międzynarodowego przewozu drogowego towarów (CMR) z dnia 19 maja 1956r.,  Ustawy Prawo przewozowe z dnia 15 listopada 1984r. (Dz. U. z 2000r., nr 50, poz. 601 </w:t>
      </w:r>
      <w:proofErr w:type="spellStart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późn</w:t>
      </w:r>
      <w:proofErr w:type="spellEnd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. </w:t>
      </w:r>
      <w:proofErr w:type="spellStart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>zm</w:t>
      </w:r>
      <w:proofErr w:type="spellEnd"/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), </w:t>
      </w:r>
    </w:p>
    <w:p w:rsidR="00BD2ACC" w:rsidRPr="00515B14" w:rsidRDefault="00BD2ACC" w:rsidP="00BD2ACC">
      <w:pPr>
        <w:pStyle w:val="Tekstpodstawowy21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rebuchet MS" w:eastAsia="Times New Roman" w:hAnsi="Trebuchet MS" w:cs="Tahoma"/>
          <w:sz w:val="20"/>
          <w:szCs w:val="20"/>
          <w:lang w:eastAsia="pl-PL"/>
        </w:rPr>
      </w:pPr>
      <w:r w:rsidRPr="00515B14">
        <w:rPr>
          <w:rFonts w:ascii="Trebuchet MS" w:eastAsia="Times New Roman" w:hAnsi="Trebuchet MS" w:cs="Tahoma"/>
          <w:sz w:val="20"/>
          <w:szCs w:val="20"/>
          <w:lang w:eastAsia="pl-PL"/>
        </w:rPr>
        <w:t xml:space="preserve">Kodeksem Cywilnym </w:t>
      </w:r>
    </w:p>
    <w:p w:rsidR="00BD2ACC" w:rsidRPr="00515B14" w:rsidRDefault="00BD2ACC" w:rsidP="00BD2ACC">
      <w:pPr>
        <w:overflowPunct w:val="0"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</w:p>
    <w:p w:rsidR="00BD2ACC" w:rsidRPr="00515B14" w:rsidRDefault="00BD2ACC" w:rsidP="00BD2ACC">
      <w:pPr>
        <w:spacing w:line="276" w:lineRule="auto"/>
        <w:ind w:left="567" w:hanging="567"/>
        <w:jc w:val="both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Wystawa odbywać się będzie w głównym budynku muzeum – ul. T. Dobrowolskiego 1, 40-205 Katowice</w:t>
      </w:r>
    </w:p>
    <w:p w:rsidR="00BD2ACC" w:rsidRPr="00515B14" w:rsidRDefault="00BD2ACC" w:rsidP="00BD2ACC">
      <w:pPr>
        <w:pStyle w:val="Akapitzlist"/>
        <w:numPr>
          <w:ilvl w:val="0"/>
          <w:numId w:val="5"/>
        </w:numPr>
        <w:ind w:left="567" w:hanging="567"/>
        <w:rPr>
          <w:rFonts w:ascii="Trebuchet MS" w:hAnsi="Trebuchet MS"/>
          <w:b/>
          <w:sz w:val="20"/>
          <w:szCs w:val="20"/>
        </w:rPr>
      </w:pPr>
      <w:r w:rsidRPr="00515B14">
        <w:rPr>
          <w:rFonts w:ascii="Trebuchet MS" w:hAnsi="Trebuchet MS"/>
          <w:b/>
          <w:sz w:val="20"/>
          <w:szCs w:val="20"/>
        </w:rPr>
        <w:t>Informacje dotyczące transportu drogowego:</w:t>
      </w:r>
    </w:p>
    <w:p w:rsidR="00BD2ACC" w:rsidRPr="00515B14" w:rsidRDefault="00BD2ACC" w:rsidP="00BD2ACC">
      <w:pPr>
        <w:pStyle w:val="Akapitzlist"/>
        <w:numPr>
          <w:ilvl w:val="0"/>
          <w:numId w:val="6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Transport większości dzieł wykonają pracownicy Muzeum Śląskiego w Katowicach, przystosowanym do tego pojazdem. Zamawiający posiada stosowną licencję przewoźnika oraz posiada obowiązkowe ubezpieczenie odpowiedzialności cywilnej przewoźnika drogowego z sumą zgodną z Rozporządzeniem Parlamentu Europejskiego i Rady (WE) 1071/2009 z dnia 21 października 2009r.</w:t>
      </w:r>
    </w:p>
    <w:p w:rsidR="00BD2ACC" w:rsidRPr="00515B14" w:rsidRDefault="00BD2ACC" w:rsidP="00BD2ACC">
      <w:pPr>
        <w:pStyle w:val="Akapitzlist"/>
        <w:ind w:left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Transport odbywać się będzie również za pośrednictwem firmy zewnętrznej profesjonalnie zajmującej się transportem dzieł sztuki, z wykorzystaniem pojazdu przystosowanego do przewozu dzieł sztuki. Wykonawca wyłoniony jest w drodze odrębnego postępowania. Wykonawca wykona transport obiektów o wartości ok 7 mln Euro.</w:t>
      </w:r>
    </w:p>
    <w:p w:rsidR="00BD2ACC" w:rsidRPr="00515B14" w:rsidRDefault="00BD2ACC" w:rsidP="00BD2ACC">
      <w:pPr>
        <w:pStyle w:val="Akapitzlist"/>
        <w:numPr>
          <w:ilvl w:val="0"/>
          <w:numId w:val="6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 w:cs="Tahoma"/>
          <w:snapToGrid w:val="0"/>
          <w:sz w:val="20"/>
          <w:szCs w:val="20"/>
        </w:rPr>
        <w:t>Pierwszy transport odbędzie się dnia 28.05.2018r.</w:t>
      </w:r>
    </w:p>
    <w:p w:rsidR="00BD2ACC" w:rsidRPr="00515B14" w:rsidRDefault="00BD2ACC" w:rsidP="00BD2ACC">
      <w:pPr>
        <w:pStyle w:val="Akapitzlist"/>
        <w:numPr>
          <w:ilvl w:val="0"/>
          <w:numId w:val="6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Przed załadunkiem eksponatów do opakowań transportowych przedstawiciel Muzeum Śląskiego i/lub właściciel Ubezpieczonego Mienia dokonają sprawdzenia stanu faktycznego eksponatów w zgodzie z wykazem dzieł związanym w konkretnym transportem i stanowiącym załącznik pod polisę. Wszelkie zastrzeżenia dotyczące stanu dzieł zostaną uwzględnione w protokole. Analogiczne zasady będą obowiązywały również podczas </w:t>
      </w:r>
      <w:proofErr w:type="spellStart"/>
      <w:r w:rsidRPr="00515B14">
        <w:rPr>
          <w:rFonts w:ascii="Trebuchet MS" w:hAnsi="Trebuchet MS"/>
          <w:sz w:val="20"/>
          <w:szCs w:val="20"/>
        </w:rPr>
        <w:t>retransportu</w:t>
      </w:r>
      <w:proofErr w:type="spellEnd"/>
      <w:r w:rsidRPr="00515B14">
        <w:rPr>
          <w:rFonts w:ascii="Trebuchet MS" w:hAnsi="Trebuchet MS"/>
          <w:sz w:val="20"/>
          <w:szCs w:val="20"/>
        </w:rPr>
        <w:t>.</w:t>
      </w:r>
    </w:p>
    <w:p w:rsidR="00BD2ACC" w:rsidRPr="00515B14" w:rsidRDefault="00BD2ACC" w:rsidP="00BD2ACC">
      <w:pPr>
        <w:pStyle w:val="Akapitzlist"/>
        <w:numPr>
          <w:ilvl w:val="0"/>
          <w:numId w:val="6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Warunki transportu dla transportu własnego Muzeum oraz transportu zleconego – dodatkowe informacje w stosunku do pkt. II powyżej: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Ochrona i bezpieczeństwo zgodne z Rozporządzeniem Ministra Kultury i Dziedzictwa Narodowego z dn. 2.09.2014 r. w sprawie zabezpieczenia zbiorów muzeum przed pożarem, kradzieżą i innym niebezpieczeństwem grożącym ich zniszczeniem lub utratą (Dz.U. z 2014, poz. 1240)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lastRenderedPageBreak/>
        <w:t>Zapewnienie zgodnych z wytycznymi konserwatora zabytków, warunków klimatycznych w trakcie transportu i przechowywania – transport samochodami z klimatyzacją, w przypadku pojazdów dostawczych i ciężarowych – klimatyzowana strefa załadunku, winda załadowcza, mocowania i uchwyty zapobiegające przesuwaniu się ładunku, pneumatyczne zawieszenie pojazdu.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Zapewnienie zgodnych z wytycznymi konserwatora zabytków opakowań obiektów.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Udział w transportach przedstawicieli Muzeum Śląskiego – konserwatora oraz kuriera muzealnego.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Przejazdy pojazdów poza granicami Polski z transportowanymi obiektami - bez długotrwałych postoi.</w:t>
      </w:r>
    </w:p>
    <w:p w:rsidR="00BD2ACC" w:rsidRPr="00515B14" w:rsidRDefault="00BD2ACC" w:rsidP="00BD2ACC">
      <w:pPr>
        <w:pStyle w:val="Akapitzlist"/>
        <w:numPr>
          <w:ilvl w:val="3"/>
          <w:numId w:val="2"/>
        </w:numPr>
        <w:spacing w:after="0"/>
        <w:ind w:left="567" w:hanging="283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Wszelkie postoje poza granicami Polski jak i w kraju objęte dozorem kierowcy – pojazd w zasięgu wzroku.</w:t>
      </w:r>
    </w:p>
    <w:p w:rsidR="00BD2ACC" w:rsidRPr="00515B14" w:rsidRDefault="00BD2ACC" w:rsidP="00BD2ACC">
      <w:pPr>
        <w:pStyle w:val="Akapitzlist"/>
        <w:numPr>
          <w:ilvl w:val="0"/>
          <w:numId w:val="6"/>
        </w:numPr>
        <w:spacing w:after="0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Informację w temacie firmy, która będzie wykonywać transport z Francji, ze wskazaniem wymogów dotyczących transportu jakie będą obowiązywały (aktualnie trwa postępowanie) </w:t>
      </w:r>
    </w:p>
    <w:p w:rsidR="00BD2ACC" w:rsidRPr="00515B14" w:rsidRDefault="00BD2ACC" w:rsidP="00BD2ACC">
      <w:pPr>
        <w:spacing w:after="0" w:line="276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Firma zostanie wybrana do dnia 25 maja br. na podstawie Regulaminu wydatków poniżej 30 tys. Euro obowiązującego w Muzeum Śląskim w Katowicach. Firma będzie realizowała transport tylko do i z Francji. Poniżej zamawiający wskazuje obowiązujące we wspomnianym wyżej postępowaniu do wybór firmy która wykona transport z /do Francji.</w:t>
      </w:r>
    </w:p>
    <w:p w:rsidR="00BD2ACC" w:rsidRPr="00515B14" w:rsidRDefault="00BD2ACC" w:rsidP="00BD2ACC">
      <w:pPr>
        <w:spacing w:after="0" w:line="276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Warunki udziału:</w:t>
      </w:r>
    </w:p>
    <w:p w:rsidR="00BD2ACC" w:rsidRPr="00515B14" w:rsidRDefault="00BD2ACC" w:rsidP="00BD2ACC">
      <w:pPr>
        <w:pStyle w:val="Akapitzlist"/>
        <w:numPr>
          <w:ilvl w:val="1"/>
          <w:numId w:val="1"/>
        </w:numPr>
        <w:spacing w:after="0"/>
        <w:ind w:left="567" w:hanging="283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oferty może złożyć tylko firma specjalistyczna z doświadczeniem minimum 3 letnim w transporcie dzieł sztuki, muzealiów, zabytków, </w:t>
      </w:r>
    </w:p>
    <w:p w:rsidR="00BD2ACC" w:rsidRPr="00515B14" w:rsidRDefault="00BD2ACC" w:rsidP="00BD2ACC">
      <w:pPr>
        <w:pStyle w:val="Akapitzlist"/>
        <w:numPr>
          <w:ilvl w:val="1"/>
          <w:numId w:val="1"/>
        </w:numPr>
        <w:spacing w:after="0"/>
        <w:ind w:left="567" w:hanging="283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Wytyczne transportowe:</w:t>
      </w:r>
    </w:p>
    <w:p w:rsidR="00BD2ACC" w:rsidRPr="00515B14" w:rsidRDefault="00BD2ACC" w:rsidP="00BD2ACC">
      <w:pPr>
        <w:pStyle w:val="Akapitzlist"/>
        <w:numPr>
          <w:ilvl w:val="2"/>
          <w:numId w:val="7"/>
        </w:numPr>
        <w:spacing w:after="0"/>
        <w:ind w:left="567" w:hanging="141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Ochrona i bezpieczeństwo zgodne z Rozporządzeniem Ministra Kultury i Dziedzictwa Narodowego z dn. 2.09.2014 r. w sprawie zabezpieczenia zbiorów muzeum przed pożarem, kradzieżą i innym niebezpieczeństwem grożącym ich zniszczeniem lub utratą (Dz.U. z 2014, poz. 1240)</w:t>
      </w:r>
    </w:p>
    <w:p w:rsidR="00BD2ACC" w:rsidRPr="00515B14" w:rsidRDefault="00BD2ACC" w:rsidP="00BD2ACC">
      <w:pPr>
        <w:pStyle w:val="Akapitzlist"/>
        <w:numPr>
          <w:ilvl w:val="2"/>
          <w:numId w:val="7"/>
        </w:numPr>
        <w:spacing w:after="0"/>
        <w:ind w:left="567" w:hanging="141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Zapewnienie zgodnych z wytycznymi konserwatora zabytków, warunków klimatycznych w trakcie transportu i przechowywania – transport samochodami z klimatyzacją, w przypadku pojazdów dostawczych i ciężarowych – klimatyzowana strefa załadunku, winda załadowcza, mocowania i uchwyty zapobiegające przesuwaniu się ładunku, pneumatyczne zawieszenie pojazdu.</w:t>
      </w:r>
    </w:p>
    <w:p w:rsidR="00BD2ACC" w:rsidRPr="00515B14" w:rsidRDefault="00BD2ACC" w:rsidP="00BD2ACC">
      <w:pPr>
        <w:pStyle w:val="Akapitzlist"/>
        <w:numPr>
          <w:ilvl w:val="2"/>
          <w:numId w:val="7"/>
        </w:numPr>
        <w:spacing w:after="0"/>
        <w:ind w:left="567" w:hanging="141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Zapewnienie zgodnych z wytycznymi konserwatora zabytków opakowań obiektów.</w:t>
      </w:r>
    </w:p>
    <w:p w:rsidR="00BD2ACC" w:rsidRPr="00515B14" w:rsidRDefault="00BD2ACC" w:rsidP="00BD2ACC">
      <w:pPr>
        <w:pStyle w:val="Akapitzlist"/>
        <w:numPr>
          <w:ilvl w:val="2"/>
          <w:numId w:val="7"/>
        </w:numPr>
        <w:spacing w:after="0"/>
        <w:ind w:left="567" w:hanging="141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Udział w transportach przedstawicieli Muzeum Śląskiego – konserwatora oraz kuriera muzealnego.</w:t>
      </w:r>
    </w:p>
    <w:p w:rsidR="00BD2ACC" w:rsidRPr="00515B14" w:rsidRDefault="00BD2ACC" w:rsidP="00BD2ACC">
      <w:pPr>
        <w:pStyle w:val="Akapitzlist"/>
        <w:numPr>
          <w:ilvl w:val="2"/>
          <w:numId w:val="7"/>
        </w:numPr>
        <w:spacing w:after="0"/>
        <w:ind w:left="567" w:hanging="141"/>
        <w:contextualSpacing w:val="0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Przejazdy pojazdów poza granicami Polski z transportowanymi obiektami - bez długotrwałych postoi, pojazd w zasięgu wzroku.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</w:p>
    <w:p w:rsidR="00BD2ACC" w:rsidRPr="00515B14" w:rsidRDefault="00BD2ACC" w:rsidP="00BD2ACC">
      <w:pPr>
        <w:pStyle w:val="Akapitzlist"/>
        <w:numPr>
          <w:ilvl w:val="0"/>
          <w:numId w:val="5"/>
        </w:numPr>
        <w:ind w:left="567" w:hanging="567"/>
        <w:rPr>
          <w:rFonts w:ascii="Trebuchet MS" w:hAnsi="Trebuchet MS"/>
          <w:b/>
          <w:sz w:val="20"/>
          <w:szCs w:val="20"/>
        </w:rPr>
      </w:pPr>
      <w:r w:rsidRPr="00515B14">
        <w:rPr>
          <w:rFonts w:ascii="Trebuchet MS" w:hAnsi="Trebuchet MS"/>
          <w:b/>
          <w:sz w:val="20"/>
          <w:szCs w:val="20"/>
        </w:rPr>
        <w:t>Informacje dotyczące ekspozycji dzieł: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Dzieła po dostarczeniu do Muzeum Śląskiego trafią do pomieszczenia aklimatyzacyjnego, które stanowi wydzieloną strefę pożarową o powierzchni ok. 200 m</w:t>
      </w:r>
      <w:r w:rsidRPr="00515B14">
        <w:rPr>
          <w:rFonts w:ascii="Trebuchet MS" w:hAnsi="Trebuchet MS"/>
          <w:sz w:val="20"/>
          <w:szCs w:val="20"/>
          <w:vertAlign w:val="superscript"/>
        </w:rPr>
        <w:t>2</w:t>
      </w:r>
      <w:r w:rsidRPr="00515B14">
        <w:rPr>
          <w:rFonts w:ascii="Trebuchet MS" w:hAnsi="Trebuchet MS"/>
          <w:sz w:val="20"/>
          <w:szCs w:val="20"/>
        </w:rPr>
        <w:t>. Pomieszczenie wyposażone jest w instalację tryskaczowa i detekcję dymu. Zanim eksponaty trafią na ekspozycję, spędzą 14-30 dni w pomieszczeniu aklimatyzacyjnym (w obrębie tego samego budynku). Przebywają tam w opakowaniach, wskazanych przez Właściciela.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Eksponaty z pomieszczenia aklimatyzacji są transportowane do głównej Sali ekspozycyjnej, znajdującej się na tym samym poziomie – 18 m poniżej poziomu terenu, w Sali o powierzchni 848 m</w:t>
      </w:r>
      <w:r w:rsidRPr="00515B14">
        <w:rPr>
          <w:rFonts w:ascii="Trebuchet MS" w:hAnsi="Trebuchet MS"/>
          <w:sz w:val="20"/>
          <w:szCs w:val="20"/>
          <w:vertAlign w:val="superscript"/>
        </w:rPr>
        <w:t>2</w:t>
      </w:r>
      <w:r w:rsidRPr="00515B14">
        <w:rPr>
          <w:rFonts w:ascii="Trebuchet MS" w:hAnsi="Trebuchet MS"/>
          <w:sz w:val="20"/>
          <w:szCs w:val="20"/>
        </w:rPr>
        <w:t xml:space="preserve"> i wysokości 14 m. Sala ekspozycyjna jest półotwarta na galerię znajdującą się piętro wyżej, z której z góry można obserwować wystawę. Salę tą wyposażono w instalację tryskaczową. Zamontowany jest też system wczesnej detekcji dymu  VESDA. 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Temperatura regulowana jest ogrzewaniem/chłodzeniem powietrznym.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Aby odprowadzić ścieki z sanitariatów zastosowano lokalne przepompownie, znajdują się one jednak poza obszarem przechowywania dzieł sztuki.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Obszar Muzeum nie znajduje się na terenie szkód górniczych. 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lastRenderedPageBreak/>
        <w:t>Hydranty zewnętrzne zasilane z sieci miejskiej – badania prowadzone z jednoczesnym poborem wody z kilku hydrantów, które nie wykazują nieprawidłowości.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Na miejscu codziennie przebywa strażak pełniący czynną służbę w PSP, który dokonuje audytów ppoż. i ma kontrolę nad monitoringiem centralek ppoż. 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Muzeum posiada podpisaną umowę serwisową z firmą WATRA, która na bieżąco usuwa usterki i dokonuje przeglądów systemu.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Wyznaczono miejsca do palenia papierosów (na zewnątrz obiektu).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>Wystawa odbywać się będzie w głównym budynku muzeum – ul. T. Dobrowolskiego 1, 40-205 Katowice</w:t>
      </w:r>
    </w:p>
    <w:p w:rsidR="00BD2ACC" w:rsidRPr="00515B14" w:rsidRDefault="00BD2ACC" w:rsidP="00BD2ACC">
      <w:pPr>
        <w:pStyle w:val="Akapitzlist"/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noProof/>
          <w:sz w:val="20"/>
          <w:szCs w:val="20"/>
          <w:lang w:eastAsia="pl-PL"/>
        </w:rPr>
        <w:drawing>
          <wp:inline distT="0" distB="0" distL="0" distR="0" wp14:anchorId="2985CA28" wp14:editId="0CA91FD9">
            <wp:extent cx="4181475" cy="2076450"/>
            <wp:effectExtent l="0" t="0" r="9525" b="0"/>
            <wp:docPr id="2" name="Obraz 2" descr="cid:image002.jpg@01D3DA4D.ED75E5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cid:image002.jpg@01D3DA4D.ED75E5A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ACC" w:rsidRPr="00515B14" w:rsidRDefault="00BD2ACC" w:rsidP="00BD2ACC">
      <w:pPr>
        <w:spacing w:line="276" w:lineRule="auto"/>
        <w:ind w:left="567" w:hanging="567"/>
        <w:jc w:val="both"/>
        <w:rPr>
          <w:rFonts w:ascii="Trebuchet MS" w:hAnsi="Trebuchet MS"/>
          <w:sz w:val="20"/>
          <w:szCs w:val="20"/>
        </w:rPr>
      </w:pPr>
    </w:p>
    <w:p w:rsidR="00BD2ACC" w:rsidRPr="00515B14" w:rsidRDefault="00BD2ACC" w:rsidP="00BD2ACC">
      <w:pPr>
        <w:pStyle w:val="Tekstkomentarza"/>
        <w:numPr>
          <w:ilvl w:val="0"/>
          <w:numId w:val="8"/>
        </w:numPr>
        <w:spacing w:line="276" w:lineRule="auto"/>
        <w:ind w:left="567" w:hanging="567"/>
        <w:jc w:val="both"/>
        <w:rPr>
          <w:rFonts w:ascii="Trebuchet MS" w:hAnsi="Trebuchet MS"/>
        </w:rPr>
      </w:pPr>
      <w:r w:rsidRPr="00515B14">
        <w:rPr>
          <w:rFonts w:ascii="Trebuchet MS" w:hAnsi="Trebuchet MS"/>
        </w:rPr>
        <w:t xml:space="preserve">Ochroną fizyczną zajmuje się firma ochroniarska. W budynku podczas otwarcia stale przebywa &gt;30 osób ochrony. Na Sali ekspozycyjnej oprócz ochrony obecni są asystenci (2-3 osoby). W razie potrzeby do budynku mogą dotrzeć również ochroniarze z innych obiektów oraz patrole interwencyjne (deklarowany czas dojazdu liczony od momentu wezwania nie może przekraczać 12 minut w godzinach od 07:00 do 20:00 i 7 minut w godzinach od 20:00 do 07:00). Wszyscy pracownicy ochrony są wpisani na listę pracowników kwalifikowanych. Zainstalowano monitoring pokrywający 100% obiektu. Dodatkowo funkcjonują kamery mobilne, które umieszcza się w wyznaczonych obszarach, w przypadku stwierdzenia, że wykonana aranżacja zasłania obraz kamerze stałej. Czas zapisu obrazu &gt;30 dni. Zorganizowano też miejsce stałego nadzoru nad obrazem przez pracowników ochrony. Zainstalowano </w:t>
      </w:r>
      <w:proofErr w:type="spellStart"/>
      <w:r w:rsidRPr="00515B14">
        <w:rPr>
          <w:rFonts w:ascii="Trebuchet MS" w:hAnsi="Trebuchet MS"/>
        </w:rPr>
        <w:t>SSWiN</w:t>
      </w:r>
      <w:proofErr w:type="spellEnd"/>
      <w:r w:rsidRPr="00515B14">
        <w:rPr>
          <w:rFonts w:ascii="Trebuchet MS" w:hAnsi="Trebuchet MS"/>
        </w:rPr>
        <w:t xml:space="preserve"> (System Sygnalizacji Włamania i Napadu) oraz SKD (System Kontroli Dostępu) przy wszystkich wejściach. Osoby wchodzące na wystawę muszą przejść przez detektory metalu. Eksponaty wyposaża się również w wewnętrzny system lokalizacji (</w:t>
      </w:r>
      <w:proofErr w:type="spellStart"/>
      <w:r w:rsidRPr="00515B14">
        <w:rPr>
          <w:rFonts w:ascii="Trebuchet MS" w:hAnsi="Trebuchet MS"/>
        </w:rPr>
        <w:t>Picolo</w:t>
      </w:r>
      <w:proofErr w:type="spellEnd"/>
      <w:r w:rsidRPr="00515B14">
        <w:rPr>
          <w:rFonts w:ascii="Trebuchet MS" w:hAnsi="Trebuchet MS"/>
        </w:rPr>
        <w:t>) – wskazuje dokładną lokalizację wewnątrz obiektu w chwili jego przemieszczania.</w:t>
      </w:r>
    </w:p>
    <w:p w:rsidR="00BD2ACC" w:rsidRPr="00515B14" w:rsidRDefault="00BD2ACC" w:rsidP="00BD2ACC">
      <w:pPr>
        <w:pStyle w:val="Akapitzlist"/>
        <w:numPr>
          <w:ilvl w:val="0"/>
          <w:numId w:val="8"/>
        </w:numPr>
        <w:ind w:left="567" w:hanging="567"/>
        <w:rPr>
          <w:rFonts w:ascii="Trebuchet MS" w:hAnsi="Trebuchet MS"/>
          <w:sz w:val="20"/>
          <w:szCs w:val="20"/>
        </w:rPr>
      </w:pPr>
      <w:r w:rsidRPr="00515B14">
        <w:rPr>
          <w:rFonts w:ascii="Trebuchet MS" w:hAnsi="Trebuchet MS"/>
          <w:sz w:val="20"/>
          <w:szCs w:val="20"/>
        </w:rPr>
        <w:t xml:space="preserve">Zabezpieczenie drzwi i okien: drzwi posiadają samozamykacze, zamki w drzwiach z systemem </w:t>
      </w:r>
      <w:proofErr w:type="spellStart"/>
      <w:r w:rsidRPr="00515B14">
        <w:rPr>
          <w:rFonts w:ascii="Trebuchet MS" w:hAnsi="Trebuchet MS"/>
          <w:sz w:val="20"/>
          <w:szCs w:val="20"/>
        </w:rPr>
        <w:t>MasterKey</w:t>
      </w:r>
      <w:proofErr w:type="spellEnd"/>
      <w:r w:rsidRPr="00515B14">
        <w:rPr>
          <w:rFonts w:ascii="Trebuchet MS" w:hAnsi="Trebuchet MS"/>
          <w:sz w:val="20"/>
          <w:szCs w:val="20"/>
        </w:rPr>
        <w:t>, elektroniczno-mechaniczna kontrola dostępu tzw. SKD, drzwi w technologii odporności ogniowej I60 i I30. W przestrzeni wystawy okien brak, są tylko świetliki tzw. szklane boksy w suficie, niektóre z brakiem bezpośredniego dostępu (żadnych wejść możliwych do ich środka), pozostałe mają drzwi jw.; jedyne okna są w budynku restauracji, budynkach naziemnych: administracyjnym, Stolarni, CSP, Łaźni – okna są zamykane na klucz (klamki z zamkiem).</w:t>
      </w:r>
    </w:p>
    <w:p w:rsidR="008859F2" w:rsidRPr="00515B14" w:rsidRDefault="00515B14" w:rsidP="00BD2ACC">
      <w:pPr>
        <w:tabs>
          <w:tab w:val="left" w:pos="1335"/>
        </w:tabs>
        <w:spacing w:line="276" w:lineRule="auto"/>
        <w:jc w:val="both"/>
        <w:rPr>
          <w:rFonts w:ascii="Trebuchet MS" w:eastAsia="Times New Roman" w:hAnsi="Trebuchet MS" w:cs="Tahoma"/>
          <w:b/>
          <w:sz w:val="20"/>
          <w:szCs w:val="20"/>
          <w:lang w:eastAsia="pl-PL"/>
        </w:rPr>
      </w:pPr>
      <w:bookmarkStart w:id="0" w:name="_GoBack"/>
      <w:bookmarkEnd w:id="0"/>
    </w:p>
    <w:sectPr w:rsidR="008859F2" w:rsidRPr="00515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576E9"/>
    <w:multiLevelType w:val="hybridMultilevel"/>
    <w:tmpl w:val="BEB6E00A"/>
    <w:lvl w:ilvl="0" w:tplc="4118AF06">
      <w:start w:val="1"/>
      <w:numFmt w:val="decimal"/>
      <w:lvlText w:val="B%1.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trike w:val="0"/>
        <w:dstrike w:val="0"/>
        <w:color w:val="auto"/>
        <w:sz w:val="21"/>
        <w:szCs w:val="21"/>
      </w:rPr>
    </w:lvl>
    <w:lvl w:ilvl="1" w:tplc="5A9696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B4A2B28">
      <w:start w:val="1"/>
      <w:numFmt w:val="upperRoman"/>
      <w:lvlText w:val="%3."/>
      <w:lvlJc w:val="left"/>
      <w:pPr>
        <w:ind w:left="2520" w:hanging="720"/>
      </w:pPr>
      <w:rPr>
        <w:rFonts w:hint="default"/>
        <w:b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1A3F38">
      <w:start w:val="2"/>
      <w:numFmt w:val="upperLetter"/>
      <w:lvlText w:val="%5)"/>
      <w:lvlJc w:val="left"/>
      <w:pPr>
        <w:ind w:left="3600" w:hanging="360"/>
      </w:pPr>
      <w:rPr>
        <w:rFonts w:cs="Times New Roman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15F02"/>
    <w:multiLevelType w:val="hybridMultilevel"/>
    <w:tmpl w:val="874E5346"/>
    <w:lvl w:ilvl="0" w:tplc="13EA6C10">
      <w:start w:val="1"/>
      <w:numFmt w:val="decimal"/>
      <w:lvlText w:val="D%1.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trike w:val="0"/>
        <w:dstrike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62561"/>
    <w:multiLevelType w:val="hybridMultilevel"/>
    <w:tmpl w:val="C9181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750C1"/>
    <w:multiLevelType w:val="hybridMultilevel"/>
    <w:tmpl w:val="64B4E8FE"/>
    <w:lvl w:ilvl="0" w:tplc="4118AF06">
      <w:start w:val="1"/>
      <w:numFmt w:val="decimal"/>
      <w:lvlText w:val="B%1.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trike w:val="0"/>
        <w:dstrike w:val="0"/>
        <w:color w:val="auto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96968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A6804"/>
    <w:multiLevelType w:val="hybridMultilevel"/>
    <w:tmpl w:val="8272E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auto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A05C1"/>
    <w:multiLevelType w:val="hybridMultilevel"/>
    <w:tmpl w:val="E46465BA"/>
    <w:lvl w:ilvl="0" w:tplc="5A96968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A4B1F"/>
    <w:multiLevelType w:val="hybridMultilevel"/>
    <w:tmpl w:val="0D4C9452"/>
    <w:lvl w:ilvl="0" w:tplc="7BD2B9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F444B1"/>
    <w:multiLevelType w:val="hybridMultilevel"/>
    <w:tmpl w:val="F998F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8EB"/>
    <w:rsid w:val="000C3076"/>
    <w:rsid w:val="00515B14"/>
    <w:rsid w:val="007373B1"/>
    <w:rsid w:val="0095018A"/>
    <w:rsid w:val="009E38EB"/>
    <w:rsid w:val="00AC4569"/>
    <w:rsid w:val="00BD2ACC"/>
    <w:rsid w:val="00E9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0C148-B253-4C09-9088-631B2FE2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D2ACC"/>
    <w:pPr>
      <w:spacing w:after="200" w:line="276" w:lineRule="auto"/>
      <w:ind w:left="720"/>
      <w:contextualSpacing/>
      <w:jc w:val="both"/>
    </w:pPr>
    <w:rPr>
      <w:rFonts w:ascii="Tahoma" w:hAnsi="Tahoma"/>
      <w:sz w:val="21"/>
    </w:rPr>
  </w:style>
  <w:style w:type="character" w:customStyle="1" w:styleId="AkapitzlistZnak">
    <w:name w:val="Akapit z listą Znak"/>
    <w:link w:val="Akapitzlist"/>
    <w:uiPriority w:val="34"/>
    <w:locked/>
    <w:rsid w:val="00BD2ACC"/>
    <w:rPr>
      <w:rFonts w:ascii="Tahoma" w:hAnsi="Tahoma"/>
      <w:sz w:val="21"/>
    </w:rPr>
  </w:style>
  <w:style w:type="paragraph" w:styleId="Tekstkomentarza">
    <w:name w:val="annotation text"/>
    <w:basedOn w:val="Normalny"/>
    <w:link w:val="TekstkomentarzaZnak"/>
    <w:rsid w:val="00BD2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D2A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BD2ACC"/>
    <w:pPr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2ACC"/>
    <w:rPr>
      <w:sz w:val="16"/>
      <w:szCs w:val="16"/>
    </w:rPr>
  </w:style>
  <w:style w:type="paragraph" w:styleId="Poprawka">
    <w:name w:val="Revision"/>
    <w:hidden/>
    <w:uiPriority w:val="99"/>
    <w:semiHidden/>
    <w:rsid w:val="00BD2AC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2A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A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D3DA4D.ED75E5A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1228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Maksis</dc:creator>
  <cp:keywords/>
  <dc:description/>
  <cp:lastModifiedBy>Katarzyna KS Szędzie</cp:lastModifiedBy>
  <cp:revision>2</cp:revision>
  <dcterms:created xsi:type="dcterms:W3CDTF">2018-05-15T11:46:00Z</dcterms:created>
  <dcterms:modified xsi:type="dcterms:W3CDTF">2018-05-15T11:46:00Z</dcterms:modified>
</cp:coreProperties>
</file>